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关于自治区重点保护野生动物名录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调整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说明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野生动物保护法》有关规定，自治区林业和草原局、自治区农业农村厅分别组织调整《自治区重点保护野生动物名录》的陆生野生动物名录部分和水生野生动物名录部分。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调整目的、依据和必要性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野生动物保护名录是《中华人民共和国野生动物保护法》重要配套法规措施。《中华人民共和国野生动物保护法》第十条规定，国家对野生动物实行分类分级保护，地方重点保护野生动物名录由省、自治区、直辖市人民政府组织科学评估后制定、调整并公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1994年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经自治区人民政府批准，由林业厅发布施行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《自治区重点保护野生动物名录》（新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林自字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〔1994〕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251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对保护管理野生动物资源和加强新疆生态文明建设发挥了重要作用。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自治区人民政府发布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《新疆维吾尔自治区重点保护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水生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野生动物名录》（新政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号）对我区鱼类资源养护、水域生态环境保护起到了积极作用。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2021年2月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国家林业和草原局、农业农村部调整并发布了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国家重点保护野生动物名录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第3号公告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高效开展野生动物资源保护执法，严厉打击陆生、水生野生动物违法犯罪行为，维护我区生物多样性和生态平衡，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保持与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国家重点保护野生动物名录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相适应，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并结合我区野生动物资源变化情况和最近资源调查结果、科学研究成果，自治区林业和草原局、农业农村厅联合开展了《自治区重点保护野生动物名录》调整工作。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调整过程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国家重点保护野生动物名录》调整发布后，自治区林业和草原局高度重视，及时组织专家广泛收集新疆分布的陆生野生动物资料和数据，分别成立鸟类、哺乳类、两栖类、爬行类专家组，由野生动植物保护管理处牵头，积极联系新疆野生动物保护协会、动物专家学者，开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自治区重点保护陆生野生动物名录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调整工作。经过三轮专家论证，于2021年8月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确定了陆生野生动物名录（征求意见稿）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分别征求了自治区10个相关厅局、14个地州市林草局和3个直属国有林管理局意见建议，以及征求了国家林草局动植物保护司、中科院新疆生态地理研究所、新疆大学、新疆师范大学、新疆农业大学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意见建议；共收集反馈意见17条，采纳8条，未采纳9条（已达成一致意见）。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2022年1月又报请自治区人大环境与资源保护委员会审核指导，反馈无意见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2021年12月自治区林业和草原局商请自治区农业农村厅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同步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开展水生野生动物名录调整工作。2022年农业农村厅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征求了农业农村部渔业渔政管理局、自治区生态环境厅、自然资源厅、水利厅、14个州农业农村局意见建议，共收到反馈意见2条，采纳1条，部分采纳1条（已达成一致意见）。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经广泛征求意见并修改完善，自治区林业和草原局党委会、农业农村厅行政办公会议研究通过后，最终形成了《自治区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重点保护野生动物名录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三、主要内容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原《自治区重点保护野生动物名录》（新政函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〔1994〕83号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涉及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纲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科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44个种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其中自治区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Ⅰ级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保护野生动物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26种、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Ⅱ级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保护野生动物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18种。调整后自治区陆生野生动物名录保留了19个种类，调出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已升为国家级重点保护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的11个种类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调出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同物异名无效种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2个种类，调出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群数量大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种群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分布广的12个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类；新增20个种类，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主要是因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种群分布狭窄、种群数量低且下降明显，受栖息地破坏、人为捕捉、食用、药用或观赏等因素致危风险大，在《中国生物多样性红色名录》被列为濒危或易危、近危的物种。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《新疆维吾尔自治区重点保护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水生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野生动物名录》（新政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涉及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纲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科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25个种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其中自治区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Ⅰ级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保护野生动物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9种、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Ⅱ级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保护野生动物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16种。调整后，名录保留了17个种类（一级4种，二级13种），调出已经升为国家级重点保护的8个种类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水生、陆生野生动物名录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调整合并后，《自治区重点保护野生动物名录》共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纲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科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56个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种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其中自治区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Ⅰ级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保护野生动物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18种、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Ⅱ级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保护野生动物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38种；水生野生动物17种、陆生野生动物39种</w:t>
      </w:r>
      <w:r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四、调整基本原则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本次名录调整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以科学评估野生动物物种生态价值为核心，充分考虑种群变化动态、面临威胁、社会关注等多方面因素，确定保护优先的基本调整原则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重点关注物种在自然生态系统、食物链中所处的生态平衡作用，对种群分布范围缩减，种群数量呈下降趋势的，且未列入国家重点保护范围的物种，优先考虑列入本名录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《中国生物多样性红色名录》列为濒危或易危但未列入国家重点的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野生动种类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定为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级；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《中国生物多样性红色名录》列为近危物种但未列入国家重点的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野生动种类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定为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级；部分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《中国生物多样性红色名录》列为无危的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野生动种类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但现在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面临栖息地破坏、食用药用或观赏人为捕捉等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较大致危风险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的野生动种类，原则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定为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级，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比如百灵、钳蝎、绢蝶等。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需要说明的事项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此次调整《自治区重点保护野生动物名录》是指在我区自然分布或迁徙停歇、越冬越夏的陆生野生动物及我区重点保护的水生野生动物，不包括原产于境外、疆外的野生动物。新调整名录包括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水生野生动物17种、陆生野生动物39种。新名录调整发布后，建议将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《自治区重点保护野生动物名录》（新政函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〔1994〕83号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《新疆维吾尔自治区重点保护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水生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野生动物名录》（新政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废除。</w:t>
      </w: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C55E7"/>
    <w:multiLevelType w:val="singleLevel"/>
    <w:tmpl w:val="BDDC55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D5"/>
    <w:rsid w:val="00090142"/>
    <w:rsid w:val="000B6533"/>
    <w:rsid w:val="000E0C33"/>
    <w:rsid w:val="00173C93"/>
    <w:rsid w:val="001A0961"/>
    <w:rsid w:val="00237557"/>
    <w:rsid w:val="00263E01"/>
    <w:rsid w:val="003D2317"/>
    <w:rsid w:val="003E75EA"/>
    <w:rsid w:val="0043583B"/>
    <w:rsid w:val="006F1125"/>
    <w:rsid w:val="007076E8"/>
    <w:rsid w:val="007227F9"/>
    <w:rsid w:val="007747FD"/>
    <w:rsid w:val="007F2884"/>
    <w:rsid w:val="0084154A"/>
    <w:rsid w:val="008D185C"/>
    <w:rsid w:val="00A75BF9"/>
    <w:rsid w:val="00A85784"/>
    <w:rsid w:val="00AD463C"/>
    <w:rsid w:val="00BF61E4"/>
    <w:rsid w:val="00E835D5"/>
    <w:rsid w:val="00F173D9"/>
    <w:rsid w:val="00F17AD7"/>
    <w:rsid w:val="00F66780"/>
    <w:rsid w:val="00FD2248"/>
    <w:rsid w:val="02A47AAB"/>
    <w:rsid w:val="0415598F"/>
    <w:rsid w:val="05811A4A"/>
    <w:rsid w:val="06303488"/>
    <w:rsid w:val="08D014FE"/>
    <w:rsid w:val="0B241FA5"/>
    <w:rsid w:val="0EAB4295"/>
    <w:rsid w:val="110C0D2C"/>
    <w:rsid w:val="15F36563"/>
    <w:rsid w:val="1C41080C"/>
    <w:rsid w:val="22A64CFD"/>
    <w:rsid w:val="25232612"/>
    <w:rsid w:val="27391375"/>
    <w:rsid w:val="2E8B0349"/>
    <w:rsid w:val="31322693"/>
    <w:rsid w:val="33FE8580"/>
    <w:rsid w:val="347B79E2"/>
    <w:rsid w:val="34AA7C25"/>
    <w:rsid w:val="388760A0"/>
    <w:rsid w:val="3B1A1846"/>
    <w:rsid w:val="400E2D25"/>
    <w:rsid w:val="42CB7779"/>
    <w:rsid w:val="462E048D"/>
    <w:rsid w:val="4BDB1FF9"/>
    <w:rsid w:val="4C8148AD"/>
    <w:rsid w:val="4D9C34F6"/>
    <w:rsid w:val="50231F8F"/>
    <w:rsid w:val="508A1132"/>
    <w:rsid w:val="50B04668"/>
    <w:rsid w:val="52AB55BF"/>
    <w:rsid w:val="58AF122E"/>
    <w:rsid w:val="5A032554"/>
    <w:rsid w:val="5F104E38"/>
    <w:rsid w:val="60862BD3"/>
    <w:rsid w:val="61BC7F84"/>
    <w:rsid w:val="64AE57A6"/>
    <w:rsid w:val="66365FF4"/>
    <w:rsid w:val="6ADB31DA"/>
    <w:rsid w:val="6B747B9A"/>
    <w:rsid w:val="6B764EBB"/>
    <w:rsid w:val="70104FBA"/>
    <w:rsid w:val="712A3B4B"/>
    <w:rsid w:val="745C1F93"/>
    <w:rsid w:val="7B743DC8"/>
    <w:rsid w:val="7CBF3098"/>
    <w:rsid w:val="7E8C0E21"/>
    <w:rsid w:val="7FFEB906"/>
    <w:rsid w:val="9FFF4067"/>
    <w:rsid w:val="F3DF3519"/>
    <w:rsid w:val="F5BFD797"/>
    <w:rsid w:val="FDDF24D0"/>
    <w:rsid w:val="FFFE8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141</Words>
  <Characters>807</Characters>
  <Lines>6</Lines>
  <Paragraphs>1</Paragraphs>
  <TotalTime>1</TotalTime>
  <ScaleCrop>false</ScaleCrop>
  <LinksUpToDate>false</LinksUpToDate>
  <CharactersWithSpaces>947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2021-08-27T04:30:00Z</dcterms:created>
  <dc:creator>SkyUser</dc:creator>
  <cp:lastModifiedBy>lcj</cp:lastModifiedBy>
  <cp:lastPrinted>2022-04-18T15:41:00Z</cp:lastPrinted>
  <dcterms:modified xsi:type="dcterms:W3CDTF">2022-04-26T16:05:55Z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