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7D7" w:rsidRDefault="005F4873" w:rsidP="00C36F08">
      <w:pPr>
        <w:pStyle w:val="a4"/>
        <w:overflowPunct w:val="0"/>
        <w:spacing w:before="0" w:line="560" w:lineRule="exact"/>
        <w:ind w:left="0"/>
        <w:jc w:val="center"/>
        <w:rPr>
          <w:rFonts w:ascii="方正小标宋简体" w:eastAsia="方正小标宋简体" w:hAnsi="方正公文小标宋" w:cs="方正公文小标宋"/>
          <w:sz w:val="44"/>
          <w:szCs w:val="44"/>
        </w:rPr>
      </w:pPr>
      <w:r w:rsidRPr="005F4873">
        <w:rPr>
          <w:rFonts w:ascii="方正小标宋简体" w:eastAsia="方正小标宋简体" w:hAnsi="方正公文小标宋" w:cs="方正公文小标宋" w:hint="eastAsia"/>
          <w:sz w:val="44"/>
          <w:szCs w:val="44"/>
        </w:rPr>
        <w:t>新疆维吾尔自治区恢复植被和林业</w:t>
      </w:r>
    </w:p>
    <w:p w:rsidR="002E07D7" w:rsidRDefault="005F4873" w:rsidP="00C36F08">
      <w:pPr>
        <w:pStyle w:val="a4"/>
        <w:overflowPunct w:val="0"/>
        <w:spacing w:before="0" w:line="560" w:lineRule="exact"/>
        <w:ind w:left="0"/>
        <w:jc w:val="center"/>
        <w:rPr>
          <w:rFonts w:ascii="方正小标宋简体" w:eastAsia="方正小标宋简体" w:hAnsi="方正公文小标宋" w:cs="方正公文小标宋"/>
          <w:sz w:val="44"/>
          <w:szCs w:val="44"/>
        </w:rPr>
      </w:pPr>
      <w:r w:rsidRPr="005F4873">
        <w:rPr>
          <w:rFonts w:ascii="方正小标宋简体" w:eastAsia="方正小标宋简体" w:hAnsi="方正公文小标宋" w:cs="方正公文小标宋" w:hint="eastAsia"/>
          <w:sz w:val="44"/>
          <w:szCs w:val="44"/>
        </w:rPr>
        <w:t>生产条件、树木补种标准</w:t>
      </w:r>
    </w:p>
    <w:p w:rsidR="005F4873" w:rsidRPr="002E07D7" w:rsidRDefault="005F4873" w:rsidP="00C36F08">
      <w:pPr>
        <w:pStyle w:val="a4"/>
        <w:overflowPunct w:val="0"/>
        <w:spacing w:before="0" w:line="560" w:lineRule="exact"/>
        <w:ind w:left="0"/>
        <w:jc w:val="center"/>
        <w:rPr>
          <w:rFonts w:ascii="楷体" w:eastAsia="楷体" w:hAnsi="楷体" w:cs="方正公文小标宋"/>
          <w:sz w:val="44"/>
          <w:szCs w:val="44"/>
        </w:rPr>
      </w:pPr>
      <w:r w:rsidRPr="002E07D7">
        <w:rPr>
          <w:rFonts w:ascii="楷体" w:eastAsia="楷体" w:hAnsi="楷体" w:cs="方正公文小标宋" w:hint="eastAsia"/>
          <w:sz w:val="44"/>
          <w:szCs w:val="44"/>
        </w:rPr>
        <w:t>（征求意见稿）</w:t>
      </w:r>
    </w:p>
    <w:p w:rsidR="005F4873" w:rsidRPr="005F4873" w:rsidRDefault="005F4873" w:rsidP="00C36F08">
      <w:pPr>
        <w:pStyle w:val="a4"/>
        <w:overflowPunct w:val="0"/>
        <w:spacing w:before="0" w:line="560" w:lineRule="exact"/>
        <w:ind w:left="0" w:firstLineChars="200" w:firstLine="560"/>
        <w:jc w:val="both"/>
        <w:rPr>
          <w:rFonts w:ascii="Times New Roman" w:eastAsia="仿宋_GB2312" w:hAnsi="Times New Roman"/>
          <w:sz w:val="28"/>
          <w:szCs w:val="28"/>
        </w:rPr>
      </w:pP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为明确全区恢复植被和林业生产条件、树木补种标准，根据《中华人民共和国森林法》（以下简称《森林法》）第八十一条第二款和《国家林业和草原局关于制定恢复植被和林业生产条件、树木补种标准的指导意见》（林办发〔</w:t>
      </w:r>
      <w:r w:rsidRPr="005F4873">
        <w:rPr>
          <w:rFonts w:ascii="Times New Roman" w:eastAsia="仿宋_GB2312" w:hAnsi="Times New Roman"/>
          <w:sz w:val="32"/>
          <w:szCs w:val="32"/>
        </w:rPr>
        <w:t>2020</w:t>
      </w:r>
      <w:r w:rsidRPr="005F4873">
        <w:rPr>
          <w:rFonts w:ascii="Times New Roman" w:eastAsia="仿宋_GB2312" w:hAnsi="Times New Roman"/>
          <w:sz w:val="32"/>
          <w:szCs w:val="32"/>
        </w:rPr>
        <w:t>〕</w:t>
      </w:r>
      <w:r w:rsidRPr="005F4873">
        <w:rPr>
          <w:rFonts w:ascii="Times New Roman" w:eastAsia="仿宋_GB2312" w:hAnsi="Times New Roman"/>
          <w:sz w:val="32"/>
          <w:szCs w:val="32"/>
        </w:rPr>
        <w:t>94</w:t>
      </w:r>
      <w:r w:rsidRPr="005F4873">
        <w:rPr>
          <w:rFonts w:ascii="Times New Roman" w:eastAsia="仿宋_GB2312" w:hAnsi="Times New Roman"/>
          <w:sz w:val="32"/>
          <w:szCs w:val="32"/>
        </w:rPr>
        <w:t>号）规定，结合我区实际，修订</w:t>
      </w:r>
      <w:r w:rsidRPr="005F4873">
        <w:rPr>
          <w:rFonts w:ascii="Times New Roman" w:eastAsia="仿宋_GB2312" w:hAnsi="Times New Roman"/>
          <w:sz w:val="32"/>
          <w:szCs w:val="32"/>
        </w:rPr>
        <w:t>2021</w:t>
      </w:r>
      <w:r w:rsidRPr="005F4873">
        <w:rPr>
          <w:rFonts w:ascii="Times New Roman" w:eastAsia="仿宋_GB2312" w:hAnsi="Times New Roman"/>
          <w:sz w:val="32"/>
          <w:szCs w:val="32"/>
        </w:rPr>
        <w:t>年标准（试行）。</w:t>
      </w:r>
    </w:p>
    <w:p w:rsidR="005F4873" w:rsidRDefault="005F4873" w:rsidP="00C36F08">
      <w:pPr>
        <w:pStyle w:val="a4"/>
        <w:overflowPunct w:val="0"/>
        <w:spacing w:before="0" w:line="560" w:lineRule="exact"/>
        <w:ind w:left="0" w:firstLineChars="200" w:firstLine="640"/>
        <w:jc w:val="both"/>
        <w:rPr>
          <w:rFonts w:ascii="黑体" w:eastAsia="黑体" w:hAnsi="黑体" w:cs="黑体"/>
          <w:sz w:val="32"/>
          <w:szCs w:val="32"/>
        </w:rPr>
      </w:pPr>
      <w:r>
        <w:rPr>
          <w:rFonts w:ascii="黑体" w:eastAsia="黑体" w:hAnsi="黑体" w:cs="黑体" w:hint="eastAsia"/>
          <w:sz w:val="32"/>
          <w:szCs w:val="32"/>
        </w:rPr>
        <w:t>一、适用范围</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恢复林业生产条件和植被、树木补种标准，适用于行政相对人履行《森林法》第三十八条第二款规定的义务，履行林业主管部门依据《森林法》第七十三条第一款、第七十三条第三款、第七十四条第一款、第七十四条第二款、第七十六条、《森林防火条例》第五十三条作出的行政处罚规定的义务，以及林业主管部门依据《森林法》第八十一条第一款规定实施的代履行。</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自然保护地相关法律法规对涉及自然保护地范围的恢复植被和林业生产条件及树木补种有明确规定的，优先按照自然保护地相关法律法规的规定执行。</w:t>
      </w:r>
    </w:p>
    <w:p w:rsidR="005F4873" w:rsidRDefault="005F4873" w:rsidP="00C36F08">
      <w:pPr>
        <w:pStyle w:val="a4"/>
        <w:overflowPunct w:val="0"/>
        <w:spacing w:before="0" w:line="560" w:lineRule="exact"/>
        <w:ind w:left="0" w:firstLineChars="200" w:firstLine="640"/>
        <w:jc w:val="both"/>
        <w:rPr>
          <w:rFonts w:ascii="黑体" w:eastAsia="黑体" w:hAnsi="黑体" w:cs="黑体"/>
          <w:sz w:val="32"/>
          <w:szCs w:val="32"/>
        </w:rPr>
      </w:pPr>
      <w:r>
        <w:rPr>
          <w:rFonts w:ascii="黑体" w:eastAsia="黑体" w:hAnsi="黑体" w:cs="黑体" w:hint="eastAsia"/>
          <w:sz w:val="32"/>
          <w:szCs w:val="32"/>
        </w:rPr>
        <w:t>二、恢复植被和林业生产条件标准</w:t>
      </w:r>
    </w:p>
    <w:p w:rsidR="005F4873" w:rsidRPr="005F4873" w:rsidRDefault="005F4873" w:rsidP="00C36F08">
      <w:pPr>
        <w:pStyle w:val="a4"/>
        <w:overflowPunct w:val="0"/>
        <w:spacing w:before="0" w:line="560" w:lineRule="exact"/>
        <w:ind w:left="0" w:firstLineChars="200" w:firstLine="640"/>
        <w:jc w:val="both"/>
        <w:rPr>
          <w:rFonts w:ascii="楷体" w:eastAsia="楷体" w:hAnsi="楷体"/>
          <w:sz w:val="32"/>
          <w:szCs w:val="32"/>
        </w:rPr>
      </w:pPr>
      <w:r w:rsidRPr="005F4873">
        <w:rPr>
          <w:rFonts w:ascii="楷体" w:eastAsia="楷体" w:hAnsi="楷体"/>
          <w:sz w:val="32"/>
          <w:szCs w:val="32"/>
        </w:rPr>
        <w:t>（一）恢复原则</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lastRenderedPageBreak/>
        <w:t>1.</w:t>
      </w:r>
      <w:r w:rsidRPr="005F4873">
        <w:rPr>
          <w:rFonts w:ascii="Times New Roman" w:eastAsia="仿宋_GB2312" w:hAnsi="Times New Roman"/>
          <w:sz w:val="32"/>
          <w:szCs w:val="32"/>
        </w:rPr>
        <w:t>原地、同面积、等质量恢复</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擅自改变林地用途、毁坏林地及临时使用林地期满后，应不低于原有林地面积和质量，原地恢复植被和林业生产条件。</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2.</w:t>
      </w:r>
      <w:r w:rsidRPr="005F4873">
        <w:rPr>
          <w:rFonts w:ascii="Times New Roman" w:eastAsia="仿宋_GB2312" w:hAnsi="Times New Roman"/>
          <w:sz w:val="32"/>
          <w:szCs w:val="32"/>
        </w:rPr>
        <w:t>可持续性</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恢复后的土壤质量与土地生产力水平应不低于原林地地类的平均生产力水平，防止水土流失和土地沙化，避免立地条件恶化，实现森林可持续发展。</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3.</w:t>
      </w:r>
      <w:r w:rsidRPr="005F4873">
        <w:rPr>
          <w:rFonts w:ascii="Times New Roman" w:eastAsia="仿宋_GB2312" w:hAnsi="Times New Roman"/>
          <w:sz w:val="32"/>
          <w:szCs w:val="32"/>
        </w:rPr>
        <w:t>协调性</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恢复植被和林业生产条件应与周围自然环境相协调，与相关规划相协调。</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4.</w:t>
      </w:r>
      <w:r w:rsidRPr="005F4873">
        <w:rPr>
          <w:rFonts w:ascii="Times New Roman" w:eastAsia="仿宋_GB2312" w:hAnsi="Times New Roman"/>
          <w:sz w:val="32"/>
          <w:szCs w:val="32"/>
        </w:rPr>
        <w:t>合理性</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恢复方案应遵循经济合理、技术可行、社会接受的原则。</w:t>
      </w:r>
    </w:p>
    <w:p w:rsidR="005F4873" w:rsidRPr="005F4873" w:rsidRDefault="005F4873" w:rsidP="00C36F08">
      <w:pPr>
        <w:pStyle w:val="a4"/>
        <w:overflowPunct w:val="0"/>
        <w:spacing w:before="0" w:line="560" w:lineRule="exact"/>
        <w:ind w:left="0" w:firstLineChars="200" w:firstLine="640"/>
        <w:jc w:val="both"/>
        <w:rPr>
          <w:rFonts w:ascii="楷体" w:eastAsia="楷体" w:hAnsi="楷体"/>
          <w:sz w:val="32"/>
          <w:szCs w:val="32"/>
        </w:rPr>
      </w:pPr>
      <w:r w:rsidRPr="005F4873">
        <w:rPr>
          <w:rFonts w:ascii="楷体" w:eastAsia="楷体" w:hAnsi="楷体"/>
          <w:sz w:val="32"/>
          <w:szCs w:val="32"/>
        </w:rPr>
        <w:t>（二）恢复林业生产条件的工序要求和质量标准</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1.</w:t>
      </w:r>
      <w:r w:rsidRPr="005F4873">
        <w:rPr>
          <w:rFonts w:ascii="Times New Roman" w:eastAsia="仿宋_GB2312" w:hAnsi="Times New Roman"/>
          <w:sz w:val="32"/>
          <w:szCs w:val="32"/>
        </w:rPr>
        <w:t>地表整理</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恢复林业生产条件，一般应当经过覆盖物清除、地面平整、表土覆盖等工序。有硬化路面、建筑地基等硬化层的，应当彻底清除再覆土。挖损和塌陷地等要先进行边坡治理，保证边坡稳定。易发生水土流失地段要修筑坡顶截水沟、竖向排水渠或挡土墙等设施。</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2.</w:t>
      </w:r>
      <w:r w:rsidRPr="005F4873">
        <w:rPr>
          <w:rFonts w:ascii="Times New Roman" w:eastAsia="仿宋_GB2312" w:hAnsi="Times New Roman"/>
          <w:sz w:val="32"/>
          <w:szCs w:val="32"/>
        </w:rPr>
        <w:t>表土覆盖</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地表清理后，应进行表土覆盖，覆盖后有效土层厚度乔木林地一般不低于</w:t>
      </w:r>
      <w:r w:rsidRPr="005F4873">
        <w:rPr>
          <w:rFonts w:ascii="Times New Roman" w:eastAsia="仿宋_GB2312" w:hAnsi="Times New Roman"/>
          <w:sz w:val="32"/>
          <w:szCs w:val="32"/>
        </w:rPr>
        <w:t>30cm</w:t>
      </w:r>
      <w:r w:rsidRPr="005F4873">
        <w:rPr>
          <w:rFonts w:ascii="Times New Roman" w:eastAsia="仿宋_GB2312" w:hAnsi="Times New Roman"/>
          <w:sz w:val="32"/>
          <w:szCs w:val="32"/>
        </w:rPr>
        <w:t>，灌木林地和其他林地不低于</w:t>
      </w:r>
      <w:r w:rsidRPr="005F4873">
        <w:rPr>
          <w:rFonts w:ascii="Times New Roman" w:eastAsia="仿宋_GB2312" w:hAnsi="Times New Roman"/>
          <w:sz w:val="32"/>
          <w:szCs w:val="32"/>
        </w:rPr>
        <w:t>20cm</w:t>
      </w:r>
      <w:r w:rsidRPr="005F4873">
        <w:rPr>
          <w:rFonts w:ascii="Times New Roman" w:eastAsia="仿宋_GB2312" w:hAnsi="Times New Roman"/>
          <w:sz w:val="32"/>
          <w:szCs w:val="32"/>
        </w:rPr>
        <w:t>。覆土</w:t>
      </w:r>
      <w:r w:rsidRPr="005F4873">
        <w:rPr>
          <w:rFonts w:ascii="Times New Roman" w:eastAsia="仿宋_GB2312" w:hAnsi="Times New Roman"/>
          <w:sz w:val="32"/>
          <w:szCs w:val="32"/>
        </w:rPr>
        <w:lastRenderedPageBreak/>
        <w:t>土层中砾石含量平原地区不超过</w:t>
      </w:r>
      <w:r w:rsidRPr="005F4873">
        <w:rPr>
          <w:rFonts w:ascii="Times New Roman" w:eastAsia="仿宋_GB2312" w:hAnsi="Times New Roman"/>
          <w:sz w:val="32"/>
          <w:szCs w:val="32"/>
        </w:rPr>
        <w:t>20%</w:t>
      </w:r>
      <w:r w:rsidRPr="005F4873">
        <w:rPr>
          <w:rFonts w:ascii="Times New Roman" w:eastAsia="仿宋_GB2312" w:hAnsi="Times New Roman"/>
          <w:sz w:val="32"/>
          <w:szCs w:val="32"/>
        </w:rPr>
        <w:t>，山地丘陵地区不超过</w:t>
      </w:r>
      <w:r w:rsidRPr="005F4873">
        <w:rPr>
          <w:rFonts w:ascii="Times New Roman" w:eastAsia="仿宋_GB2312" w:hAnsi="Times New Roman"/>
          <w:sz w:val="32"/>
          <w:szCs w:val="32"/>
        </w:rPr>
        <w:t>30%</w:t>
      </w:r>
      <w:r w:rsidRPr="005F4873">
        <w:rPr>
          <w:rFonts w:ascii="Times New Roman" w:eastAsia="仿宋_GB2312" w:hAnsi="Times New Roman"/>
          <w:sz w:val="32"/>
          <w:szCs w:val="32"/>
        </w:rPr>
        <w:t>，个别区域砾石含量较高区域，</w:t>
      </w:r>
      <w:r w:rsidRPr="005F4873">
        <w:rPr>
          <w:rFonts w:ascii="Times New Roman" w:eastAsia="仿宋_GB2312" w:hAnsi="Times New Roman" w:hint="eastAsia"/>
          <w:sz w:val="32"/>
          <w:szCs w:val="32"/>
        </w:rPr>
        <w:t>原则上</w:t>
      </w:r>
      <w:r w:rsidRPr="005F4873">
        <w:rPr>
          <w:rFonts w:ascii="Times New Roman" w:eastAsia="仿宋_GB2312" w:hAnsi="Times New Roman"/>
          <w:sz w:val="32"/>
          <w:szCs w:val="32"/>
        </w:rPr>
        <w:t>以覆土土层中砾石含量不超过</w:t>
      </w:r>
      <w:r w:rsidRPr="005F4873">
        <w:rPr>
          <w:rFonts w:ascii="Times New Roman" w:eastAsia="仿宋_GB2312" w:hAnsi="Times New Roman"/>
          <w:sz w:val="32"/>
          <w:szCs w:val="32"/>
        </w:rPr>
        <w:t>50%</w:t>
      </w:r>
      <w:r w:rsidRPr="005F4873">
        <w:rPr>
          <w:rFonts w:ascii="Times New Roman" w:eastAsia="仿宋_GB2312" w:hAnsi="Times New Roman"/>
          <w:sz w:val="32"/>
          <w:szCs w:val="32"/>
        </w:rPr>
        <w:t>为上限（针对砾石含量超过</w:t>
      </w:r>
      <w:r w:rsidRPr="005F4873">
        <w:rPr>
          <w:rFonts w:ascii="Times New Roman" w:eastAsia="仿宋_GB2312" w:hAnsi="Times New Roman"/>
          <w:sz w:val="32"/>
          <w:szCs w:val="32"/>
        </w:rPr>
        <w:t>50%</w:t>
      </w:r>
      <w:r w:rsidRPr="005F4873">
        <w:rPr>
          <w:rFonts w:ascii="Times New Roman" w:eastAsia="仿宋_GB2312" w:hAnsi="Times New Roman"/>
          <w:sz w:val="32"/>
          <w:szCs w:val="32"/>
        </w:rPr>
        <w:t>的原生地貌，允许保留原有覆土特征，避免机械执行标准导致生态不可行）。当土层厚度、土壤酸碱度等土壤条件不能满足植被正常生长需要时，应进行客土覆盖。根据场地实际情况可进行整体客土或穴状客土。禁止将重金属或有毒有害物质含量超标的污染土壤用于表土覆盖，禁止用含有重金属、危险化学物质或其他有毒有害物质含量超标的污水进行植被浇灌，严防进入食物链，避免污染土壤和地下水。对建设、采石、采砂、采土、采矿、开垦等毁坏林地的不同类型，参照《土地复垦质量控制标准》（</w:t>
      </w:r>
      <w:r w:rsidRPr="005F4873">
        <w:rPr>
          <w:rFonts w:ascii="Times New Roman" w:eastAsia="仿宋_GB2312" w:hAnsi="Times New Roman"/>
          <w:sz w:val="32"/>
          <w:szCs w:val="32"/>
        </w:rPr>
        <w:t>TD/T1036—2013</w:t>
      </w:r>
      <w:r w:rsidRPr="005F4873">
        <w:rPr>
          <w:rFonts w:ascii="Times New Roman" w:eastAsia="仿宋_GB2312" w:hAnsi="Times New Roman"/>
          <w:sz w:val="32"/>
          <w:szCs w:val="32"/>
        </w:rPr>
        <w:t>）中</w:t>
      </w:r>
      <w:r w:rsidRPr="005F4873">
        <w:rPr>
          <w:rFonts w:ascii="Times New Roman" w:eastAsia="仿宋_GB2312" w:hAnsi="Times New Roman"/>
          <w:sz w:val="32"/>
          <w:szCs w:val="32"/>
        </w:rPr>
        <w:t>“</w:t>
      </w:r>
      <w:r w:rsidRPr="005F4873">
        <w:rPr>
          <w:rFonts w:ascii="Times New Roman" w:eastAsia="仿宋_GB2312" w:hAnsi="Times New Roman"/>
          <w:sz w:val="32"/>
          <w:szCs w:val="32"/>
        </w:rPr>
        <w:t>损毁土地复垦质量要求</w:t>
      </w:r>
      <w:r w:rsidRPr="005F4873">
        <w:rPr>
          <w:rFonts w:ascii="Times New Roman" w:eastAsia="仿宋_GB2312" w:hAnsi="Times New Roman"/>
          <w:sz w:val="32"/>
          <w:szCs w:val="32"/>
        </w:rPr>
        <w:t>”</w:t>
      </w:r>
      <w:r w:rsidRPr="005F4873">
        <w:rPr>
          <w:rFonts w:ascii="Times New Roman" w:eastAsia="仿宋_GB2312" w:hAnsi="Times New Roman"/>
          <w:sz w:val="32"/>
          <w:szCs w:val="32"/>
        </w:rPr>
        <w:t>确定相应工序；恢复后的林地土壤质量和生产力水平应达到《土地复垦质量控制标准》（</w:t>
      </w:r>
      <w:r w:rsidRPr="005F4873">
        <w:rPr>
          <w:rFonts w:ascii="Times New Roman" w:eastAsia="仿宋_GB2312" w:hAnsi="Times New Roman"/>
          <w:sz w:val="32"/>
          <w:szCs w:val="32"/>
        </w:rPr>
        <w:t>TD/T1036—2013</w:t>
      </w:r>
      <w:r w:rsidRPr="005F4873">
        <w:rPr>
          <w:rFonts w:ascii="Times New Roman" w:eastAsia="仿宋_GB2312" w:hAnsi="Times New Roman"/>
          <w:sz w:val="32"/>
          <w:szCs w:val="32"/>
        </w:rPr>
        <w:t>））中对应区域、对应类型的标准。</w:t>
      </w:r>
    </w:p>
    <w:p w:rsidR="005F4873" w:rsidRPr="005F4873" w:rsidRDefault="005F4873" w:rsidP="00C36F08">
      <w:pPr>
        <w:pStyle w:val="a4"/>
        <w:overflowPunct w:val="0"/>
        <w:spacing w:before="0" w:line="560" w:lineRule="exact"/>
        <w:ind w:left="0" w:firstLineChars="200" w:firstLine="640"/>
        <w:jc w:val="both"/>
        <w:rPr>
          <w:rFonts w:ascii="楷体" w:eastAsia="楷体" w:hAnsi="楷体"/>
          <w:sz w:val="32"/>
          <w:szCs w:val="32"/>
        </w:rPr>
      </w:pPr>
      <w:r w:rsidRPr="005F4873">
        <w:rPr>
          <w:rFonts w:ascii="楷体" w:eastAsia="楷体" w:hAnsi="楷体"/>
          <w:sz w:val="32"/>
          <w:szCs w:val="32"/>
        </w:rPr>
        <w:t>（三）恢复植被的工序要求和质量标准</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恢复植被时应当具备林业生产条件，一般经过整地、栽植、抚育、管护等工序。植物选择、工序要求和质量标准，参照《裸露坡面植被恢复技术规范》（</w:t>
      </w:r>
      <w:r w:rsidRPr="005F4873">
        <w:rPr>
          <w:rFonts w:ascii="Times New Roman" w:eastAsia="仿宋_GB2312" w:hAnsi="Times New Roman"/>
          <w:sz w:val="32"/>
          <w:szCs w:val="32"/>
        </w:rPr>
        <w:t>GB/T38360—2019</w:t>
      </w:r>
      <w:r w:rsidRPr="005F4873">
        <w:rPr>
          <w:rFonts w:ascii="Times New Roman" w:eastAsia="仿宋_GB2312" w:hAnsi="Times New Roman"/>
          <w:sz w:val="32"/>
          <w:szCs w:val="32"/>
        </w:rPr>
        <w:t>）确定。种苗质量应当达到《林木种子质量分级》（</w:t>
      </w:r>
      <w:r w:rsidRPr="005F4873">
        <w:rPr>
          <w:rFonts w:ascii="Times New Roman" w:eastAsia="仿宋_GB2312" w:hAnsi="Times New Roman"/>
          <w:sz w:val="32"/>
          <w:szCs w:val="32"/>
        </w:rPr>
        <w:t>GB7908</w:t>
      </w:r>
      <w:r w:rsidRPr="005F4873">
        <w:rPr>
          <w:rFonts w:ascii="Times New Roman" w:eastAsia="仿宋_GB2312" w:hAnsi="Times New Roman"/>
          <w:sz w:val="32"/>
          <w:szCs w:val="32"/>
        </w:rPr>
        <w:t>一</w:t>
      </w:r>
      <w:r w:rsidRPr="005F4873">
        <w:rPr>
          <w:rFonts w:ascii="Times New Roman" w:eastAsia="仿宋_GB2312" w:hAnsi="Times New Roman"/>
          <w:sz w:val="32"/>
          <w:szCs w:val="32"/>
        </w:rPr>
        <w:t>1999</w:t>
      </w:r>
      <w:r w:rsidRPr="005F4873">
        <w:rPr>
          <w:rFonts w:ascii="Times New Roman" w:eastAsia="仿宋_GB2312" w:hAnsi="Times New Roman"/>
          <w:sz w:val="32"/>
          <w:szCs w:val="32"/>
        </w:rPr>
        <w:t>）、《主要造林树种苗木质量分级》（</w:t>
      </w:r>
      <w:r w:rsidRPr="005F4873">
        <w:rPr>
          <w:rFonts w:ascii="Times New Roman" w:eastAsia="仿宋_GB2312" w:hAnsi="Times New Roman"/>
          <w:sz w:val="32"/>
          <w:szCs w:val="32"/>
        </w:rPr>
        <w:t>GB6000—1999</w:t>
      </w:r>
      <w:r w:rsidRPr="005F4873">
        <w:rPr>
          <w:rFonts w:ascii="Times New Roman" w:eastAsia="仿宋_GB2312" w:hAnsi="Times New Roman"/>
          <w:sz w:val="32"/>
          <w:szCs w:val="32"/>
        </w:rPr>
        <w:t>）、《新疆主要造林树种苗木质量分级》（</w:t>
      </w:r>
      <w:r w:rsidRPr="005F4873">
        <w:rPr>
          <w:rFonts w:ascii="Times New Roman" w:eastAsia="仿宋_GB2312" w:hAnsi="Times New Roman"/>
          <w:sz w:val="32"/>
          <w:szCs w:val="32"/>
        </w:rPr>
        <w:t>DB65/T2201-2014</w:t>
      </w:r>
      <w:r w:rsidRPr="005F4873">
        <w:rPr>
          <w:rFonts w:ascii="Times New Roman" w:eastAsia="仿宋_GB2312" w:hAnsi="Times New Roman"/>
          <w:sz w:val="32"/>
          <w:szCs w:val="32"/>
        </w:rPr>
        <w:t>）和</w:t>
      </w:r>
      <w:r w:rsidRPr="005F4873">
        <w:rPr>
          <w:rFonts w:ascii="Times New Roman" w:eastAsia="仿宋_GB2312" w:hAnsi="Times New Roman"/>
          <w:sz w:val="32"/>
          <w:szCs w:val="32"/>
        </w:rPr>
        <w:lastRenderedPageBreak/>
        <w:t>《造林技术规程》（</w:t>
      </w:r>
      <w:r w:rsidRPr="005F4873">
        <w:rPr>
          <w:rFonts w:ascii="Times New Roman" w:eastAsia="仿宋_GB2312" w:hAnsi="Times New Roman"/>
          <w:sz w:val="32"/>
          <w:szCs w:val="32"/>
        </w:rPr>
        <w:t>GB/Tl5776-2023</w:t>
      </w:r>
      <w:r w:rsidRPr="005F4873">
        <w:rPr>
          <w:rFonts w:ascii="Times New Roman" w:eastAsia="仿宋_GB2312" w:hAnsi="Times New Roman"/>
          <w:sz w:val="32"/>
          <w:szCs w:val="32"/>
        </w:rPr>
        <w:t>）的要求。</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I.</w:t>
      </w:r>
      <w:r w:rsidRPr="005F4873">
        <w:rPr>
          <w:rFonts w:ascii="Times New Roman" w:eastAsia="仿宋_GB2312" w:hAnsi="Times New Roman"/>
          <w:sz w:val="32"/>
          <w:szCs w:val="32"/>
        </w:rPr>
        <w:t>整地</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为防止造林及幼林生长期间的水土流失，合理利用坡面径流，改善林木生长条件，可以采取带状、块状、水平阶、水平台地、鱼鳞坑和穴状整地方式。</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2.</w:t>
      </w:r>
      <w:r w:rsidRPr="005F4873">
        <w:rPr>
          <w:rFonts w:ascii="Times New Roman" w:eastAsia="仿宋_GB2312" w:hAnsi="Times New Roman"/>
          <w:sz w:val="32"/>
          <w:szCs w:val="32"/>
        </w:rPr>
        <w:t>植物选择</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根据立地条件适地适树，优先选择乡土树种，鼓励营造混交林。</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3.</w:t>
      </w:r>
      <w:r w:rsidRPr="005F4873">
        <w:rPr>
          <w:rFonts w:ascii="Times New Roman" w:eastAsia="仿宋_GB2312" w:hAnsi="Times New Roman"/>
          <w:sz w:val="32"/>
          <w:szCs w:val="32"/>
        </w:rPr>
        <w:t>栽植</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乔木和灌木一般以植苗造林为主，也可采用播种方式进行。栽植苗木应使用良种壮苗。造林成活率：半干旱区、干旱区和极干旱区，不低于</w:t>
      </w:r>
      <w:r w:rsidRPr="005F4873">
        <w:rPr>
          <w:rFonts w:ascii="Times New Roman" w:eastAsia="仿宋_GB2312" w:hAnsi="Times New Roman"/>
          <w:sz w:val="32"/>
          <w:szCs w:val="32"/>
        </w:rPr>
        <w:t>70%</w:t>
      </w:r>
      <w:r w:rsidRPr="005F4873">
        <w:rPr>
          <w:rFonts w:ascii="Times New Roman" w:eastAsia="仿宋_GB2312" w:hAnsi="Times New Roman"/>
          <w:sz w:val="32"/>
          <w:szCs w:val="32"/>
        </w:rPr>
        <w:t>（含），其他地区不低于</w:t>
      </w:r>
      <w:r w:rsidRPr="005F4873">
        <w:rPr>
          <w:rFonts w:ascii="Times New Roman" w:eastAsia="仿宋_GB2312" w:hAnsi="Times New Roman"/>
          <w:sz w:val="32"/>
          <w:szCs w:val="32"/>
        </w:rPr>
        <w:t>85%</w:t>
      </w:r>
      <w:r w:rsidRPr="005F4873">
        <w:rPr>
          <w:rFonts w:ascii="Times New Roman" w:eastAsia="仿宋_GB2312" w:hAnsi="Times New Roman"/>
          <w:sz w:val="32"/>
          <w:szCs w:val="32"/>
        </w:rPr>
        <w:t>（含）。造林株数保存率：半干旱区、干旱区和极干旱区不低于</w:t>
      </w:r>
      <w:r w:rsidRPr="005F4873">
        <w:rPr>
          <w:rFonts w:ascii="Times New Roman" w:eastAsia="仿宋_GB2312" w:hAnsi="Times New Roman"/>
          <w:sz w:val="32"/>
          <w:szCs w:val="32"/>
        </w:rPr>
        <w:t>65%</w:t>
      </w:r>
      <w:r w:rsidRPr="005F4873">
        <w:rPr>
          <w:rFonts w:ascii="Times New Roman" w:eastAsia="仿宋_GB2312" w:hAnsi="Times New Roman"/>
          <w:sz w:val="32"/>
          <w:szCs w:val="32"/>
        </w:rPr>
        <w:t>（含），其他地区不低于</w:t>
      </w:r>
      <w:r w:rsidRPr="005F4873">
        <w:rPr>
          <w:rFonts w:ascii="Times New Roman" w:eastAsia="仿宋_GB2312" w:hAnsi="Times New Roman"/>
          <w:sz w:val="32"/>
          <w:szCs w:val="32"/>
        </w:rPr>
        <w:t>80%</w:t>
      </w:r>
      <w:r w:rsidRPr="005F4873">
        <w:rPr>
          <w:rFonts w:ascii="Times New Roman" w:eastAsia="仿宋_GB2312" w:hAnsi="Times New Roman"/>
          <w:sz w:val="32"/>
          <w:szCs w:val="32"/>
        </w:rPr>
        <w:t>（含）。</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4.</w:t>
      </w:r>
      <w:r w:rsidRPr="005F4873">
        <w:rPr>
          <w:rFonts w:ascii="Times New Roman" w:eastAsia="仿宋_GB2312" w:hAnsi="Times New Roman"/>
          <w:sz w:val="32"/>
          <w:szCs w:val="32"/>
        </w:rPr>
        <w:t>恢复期限</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经批准临时使用林地的，应当自使用期满之日起一年内完成恢复植被和林业生产条件的施工；其他情形下，综合考虑总体作业量、现场作业条件、造林季节、行政相对人承受能力等因素，可以在作出行政处罚决定当年或次年内完成。恢复植被的抚育管护期一般为</w:t>
      </w:r>
      <w:r w:rsidRPr="005F4873">
        <w:rPr>
          <w:rFonts w:ascii="Times New Roman" w:eastAsia="仿宋_GB2312" w:hAnsi="Times New Roman"/>
          <w:sz w:val="32"/>
          <w:szCs w:val="32"/>
        </w:rPr>
        <w:t>3-5</w:t>
      </w:r>
      <w:r w:rsidRPr="005F4873">
        <w:rPr>
          <w:rFonts w:ascii="Times New Roman" w:eastAsia="仿宋_GB2312" w:hAnsi="Times New Roman"/>
          <w:sz w:val="32"/>
          <w:szCs w:val="32"/>
        </w:rPr>
        <w:t>年。</w:t>
      </w:r>
    </w:p>
    <w:p w:rsidR="005F4873" w:rsidRDefault="005F4873" w:rsidP="00C36F08">
      <w:pPr>
        <w:pStyle w:val="a4"/>
        <w:overflowPunct w:val="0"/>
        <w:spacing w:before="0" w:line="560" w:lineRule="exact"/>
        <w:ind w:left="0" w:firstLineChars="200" w:firstLine="640"/>
        <w:jc w:val="both"/>
        <w:rPr>
          <w:rFonts w:ascii="黑体" w:eastAsia="黑体" w:hAnsi="黑体" w:cs="黑体"/>
          <w:sz w:val="32"/>
          <w:szCs w:val="32"/>
        </w:rPr>
      </w:pPr>
      <w:r>
        <w:rPr>
          <w:rFonts w:ascii="黑体" w:eastAsia="黑体" w:hAnsi="黑体" w:cs="黑体" w:hint="eastAsia"/>
          <w:sz w:val="32"/>
          <w:szCs w:val="32"/>
        </w:rPr>
        <w:t>三、树木补种标准</w:t>
      </w:r>
    </w:p>
    <w:p w:rsidR="005F4873" w:rsidRPr="005F4873" w:rsidRDefault="005F4873" w:rsidP="00C36F08">
      <w:pPr>
        <w:pStyle w:val="a4"/>
        <w:overflowPunct w:val="0"/>
        <w:spacing w:before="0" w:line="560" w:lineRule="exact"/>
        <w:ind w:left="0" w:firstLineChars="200" w:firstLine="640"/>
        <w:jc w:val="both"/>
        <w:rPr>
          <w:rFonts w:ascii="楷体" w:eastAsia="楷体" w:hAnsi="楷体"/>
          <w:sz w:val="32"/>
          <w:szCs w:val="32"/>
        </w:rPr>
      </w:pPr>
      <w:r w:rsidRPr="005F4873">
        <w:rPr>
          <w:rFonts w:ascii="楷体" w:eastAsia="楷体" w:hAnsi="楷体"/>
          <w:sz w:val="32"/>
          <w:szCs w:val="32"/>
        </w:rPr>
        <w:t>（一）补种原则</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lastRenderedPageBreak/>
        <w:t>补种树木，以确保森林面积不减少、森林质量不下降为主要目标，在原地或者异地种植相应行政处罚规定的补种树木株数，恢复森林植被，修复森林生态。</w:t>
      </w:r>
    </w:p>
    <w:p w:rsidR="005F4873" w:rsidRPr="005F4873" w:rsidRDefault="005F4873" w:rsidP="00C36F08">
      <w:pPr>
        <w:pStyle w:val="a4"/>
        <w:overflowPunct w:val="0"/>
        <w:spacing w:before="0" w:line="560" w:lineRule="exact"/>
        <w:ind w:left="0" w:firstLineChars="200" w:firstLine="640"/>
        <w:jc w:val="both"/>
        <w:rPr>
          <w:rFonts w:ascii="楷体" w:eastAsia="楷体" w:hAnsi="楷体"/>
          <w:sz w:val="32"/>
          <w:szCs w:val="32"/>
        </w:rPr>
      </w:pPr>
      <w:r w:rsidRPr="005F4873">
        <w:rPr>
          <w:rFonts w:ascii="楷体" w:eastAsia="楷体" w:hAnsi="楷体"/>
          <w:sz w:val="32"/>
          <w:szCs w:val="32"/>
        </w:rPr>
        <w:t>（二）补种地点</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补种树木优先在原地进行，原地无法满足补种株数要求的，超出株数可以异地补种。异地补种地点应当符合国土空间规划和林地保护利用、国土绿化等专项规划，权属清晰，相对集中连片，一般限定在同一县级行政区域内。</w:t>
      </w:r>
    </w:p>
    <w:p w:rsidR="005F4873" w:rsidRPr="005F4873" w:rsidRDefault="005F4873" w:rsidP="00C36F08">
      <w:pPr>
        <w:pStyle w:val="a4"/>
        <w:overflowPunct w:val="0"/>
        <w:spacing w:before="0" w:line="560" w:lineRule="exact"/>
        <w:ind w:left="0" w:firstLineChars="200" w:firstLine="640"/>
        <w:jc w:val="both"/>
        <w:rPr>
          <w:rFonts w:ascii="楷体" w:eastAsia="楷体" w:hAnsi="楷体"/>
          <w:sz w:val="32"/>
          <w:szCs w:val="32"/>
        </w:rPr>
      </w:pPr>
      <w:r w:rsidRPr="005F4873">
        <w:rPr>
          <w:rFonts w:ascii="楷体" w:eastAsia="楷体" w:hAnsi="楷体"/>
          <w:sz w:val="32"/>
          <w:szCs w:val="32"/>
        </w:rPr>
        <w:t>（三）补种的工序要求和质量标准</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原地补种的，林种应与原用途保持一致，优先选择原树种或本地乡土树种；异地补种的，林种按照有关规划确定，根据补种地点周边森林类型和立地条件选择适生树种。主要技术措施参照</w:t>
      </w:r>
      <w:r w:rsidRPr="005F4873">
        <w:rPr>
          <w:rFonts w:ascii="Times New Roman" w:eastAsia="仿宋_GB2312" w:hAnsi="Times New Roman"/>
          <w:sz w:val="32"/>
          <w:szCs w:val="32"/>
        </w:rPr>
        <w:t>“</w:t>
      </w:r>
      <w:r w:rsidRPr="005F4873">
        <w:rPr>
          <w:rFonts w:ascii="Times New Roman" w:eastAsia="仿宋_GB2312" w:hAnsi="Times New Roman"/>
          <w:sz w:val="32"/>
          <w:szCs w:val="32"/>
        </w:rPr>
        <w:t>恢复植被的工序要求和质量标准</w:t>
      </w:r>
      <w:r w:rsidRPr="005F4873">
        <w:rPr>
          <w:rFonts w:ascii="Times New Roman" w:eastAsia="仿宋_GB2312" w:hAnsi="Times New Roman"/>
          <w:sz w:val="32"/>
          <w:szCs w:val="32"/>
        </w:rPr>
        <w:t>”</w:t>
      </w:r>
      <w:r w:rsidRPr="005F4873">
        <w:rPr>
          <w:rFonts w:ascii="Times New Roman" w:eastAsia="仿宋_GB2312" w:hAnsi="Times New Roman"/>
          <w:sz w:val="32"/>
          <w:szCs w:val="32"/>
        </w:rPr>
        <w:t>中的有关要求执行。</w:t>
      </w:r>
    </w:p>
    <w:p w:rsidR="005F4873" w:rsidRPr="005F4873" w:rsidRDefault="005F4873" w:rsidP="00C36F08">
      <w:pPr>
        <w:pStyle w:val="a4"/>
        <w:overflowPunct w:val="0"/>
        <w:spacing w:before="0" w:line="560" w:lineRule="exact"/>
        <w:ind w:left="0" w:firstLineChars="200" w:firstLine="640"/>
        <w:jc w:val="both"/>
        <w:rPr>
          <w:rFonts w:ascii="楷体" w:eastAsia="楷体" w:hAnsi="楷体"/>
          <w:sz w:val="32"/>
          <w:szCs w:val="32"/>
        </w:rPr>
      </w:pPr>
      <w:r w:rsidRPr="005F4873">
        <w:rPr>
          <w:rFonts w:ascii="楷体" w:eastAsia="楷体" w:hAnsi="楷体"/>
          <w:sz w:val="32"/>
          <w:szCs w:val="32"/>
        </w:rPr>
        <w:t>（四）补种期限</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补种树木的期限根据当地造林季节确定，当地林业主管部门可以按照整地、造林作业、抚育管护等工序分别设定相应期限。造林作业一般应当在当年造林季节结束前完成，作出行政处罚决定时当年造林季节已结束或者在造林季节内难以完成的，可以延长至下一年度造林季节结束前。树木补种的抚育管护期一般为</w:t>
      </w:r>
      <w:r w:rsidRPr="005F4873">
        <w:rPr>
          <w:rFonts w:ascii="Times New Roman" w:eastAsia="仿宋_GB2312" w:hAnsi="Times New Roman"/>
          <w:sz w:val="32"/>
          <w:szCs w:val="32"/>
        </w:rPr>
        <w:t>3</w:t>
      </w:r>
      <w:r>
        <w:rPr>
          <w:rFonts w:ascii="Times New Roman" w:eastAsia="仿宋_GB2312" w:hAnsi="Times New Roman" w:hint="eastAsia"/>
          <w:sz w:val="32"/>
          <w:szCs w:val="32"/>
        </w:rPr>
        <w:t>—</w:t>
      </w:r>
      <w:r w:rsidRPr="005F4873">
        <w:rPr>
          <w:rFonts w:ascii="Times New Roman" w:eastAsia="仿宋_GB2312" w:hAnsi="Times New Roman"/>
          <w:sz w:val="32"/>
          <w:szCs w:val="32"/>
        </w:rPr>
        <w:t>5</w:t>
      </w:r>
      <w:r w:rsidRPr="005F4873">
        <w:rPr>
          <w:rFonts w:ascii="Times New Roman" w:eastAsia="仿宋_GB2312" w:hAnsi="Times New Roman"/>
          <w:sz w:val="32"/>
          <w:szCs w:val="32"/>
        </w:rPr>
        <w:t>年。</w:t>
      </w:r>
    </w:p>
    <w:p w:rsidR="005F4873" w:rsidRDefault="005F4873" w:rsidP="00C36F08">
      <w:pPr>
        <w:pStyle w:val="a4"/>
        <w:overflowPunct w:val="0"/>
        <w:spacing w:before="0" w:line="560" w:lineRule="exact"/>
        <w:ind w:left="0" w:firstLineChars="200" w:firstLine="640"/>
        <w:jc w:val="both"/>
        <w:rPr>
          <w:rFonts w:ascii="黑体" w:eastAsia="黑体" w:hAnsi="黑体" w:cs="黑体"/>
          <w:sz w:val="32"/>
          <w:szCs w:val="32"/>
        </w:rPr>
      </w:pPr>
      <w:r>
        <w:rPr>
          <w:rFonts w:ascii="黑体" w:eastAsia="黑体" w:hAnsi="黑体" w:cs="黑体" w:hint="eastAsia"/>
          <w:sz w:val="32"/>
          <w:szCs w:val="32"/>
        </w:rPr>
        <w:t>四、恢复林业生产条件和植被、树木补种费用标准</w:t>
      </w:r>
    </w:p>
    <w:p w:rsidR="005F4873" w:rsidRPr="005F4873" w:rsidRDefault="005F4873" w:rsidP="00C36F08">
      <w:pPr>
        <w:pStyle w:val="a4"/>
        <w:overflowPunct w:val="0"/>
        <w:spacing w:before="0" w:line="560" w:lineRule="exact"/>
        <w:ind w:left="0" w:firstLineChars="200" w:firstLine="640"/>
        <w:jc w:val="both"/>
        <w:rPr>
          <w:rFonts w:ascii="楷体" w:eastAsia="楷体" w:hAnsi="楷体" w:cs="宋体"/>
          <w:sz w:val="32"/>
          <w:szCs w:val="32"/>
        </w:rPr>
      </w:pPr>
      <w:r w:rsidRPr="005F4873">
        <w:rPr>
          <w:rFonts w:ascii="楷体" w:eastAsia="楷体" w:hAnsi="楷体" w:cs="宋体"/>
          <w:sz w:val="32"/>
          <w:szCs w:val="32"/>
        </w:rPr>
        <w:t>（一）自行及代履行的费用标准</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lastRenderedPageBreak/>
        <w:t>1.</w:t>
      </w:r>
      <w:r w:rsidRPr="005F4873">
        <w:rPr>
          <w:rFonts w:ascii="Times New Roman" w:eastAsia="仿宋_GB2312" w:hAnsi="Times New Roman"/>
          <w:sz w:val="32"/>
          <w:szCs w:val="32"/>
        </w:rPr>
        <w:t>违法者自行恢复、补种的，所需费用由其据实承担。</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2.</w:t>
      </w:r>
      <w:r w:rsidRPr="005F4873">
        <w:rPr>
          <w:rFonts w:ascii="Times New Roman" w:eastAsia="仿宋_GB2312" w:hAnsi="Times New Roman"/>
          <w:sz w:val="32"/>
          <w:szCs w:val="32"/>
        </w:rPr>
        <w:t>违法者拒不履行恢复、补种义务的，由作出行政处罚决定的林草主管部门按照《中华人民共和国行政强制法》有关规定依法组织代履行，费用按照成本合理测算确定，由违法者承担。</w:t>
      </w:r>
    </w:p>
    <w:p w:rsidR="005F4873" w:rsidRPr="005F4873" w:rsidRDefault="005F4873" w:rsidP="00C36F08">
      <w:pPr>
        <w:pStyle w:val="a4"/>
        <w:overflowPunct w:val="0"/>
        <w:spacing w:before="0" w:line="560" w:lineRule="exact"/>
        <w:ind w:left="0" w:firstLineChars="200" w:firstLine="640"/>
        <w:jc w:val="both"/>
        <w:rPr>
          <w:rFonts w:ascii="楷体" w:eastAsia="楷体" w:hAnsi="楷体" w:cs="宋体"/>
          <w:sz w:val="32"/>
          <w:szCs w:val="32"/>
        </w:rPr>
      </w:pPr>
      <w:r w:rsidRPr="005F4873">
        <w:rPr>
          <w:rFonts w:ascii="楷体" w:eastAsia="楷体" w:hAnsi="楷体" w:cs="宋体"/>
          <w:sz w:val="32"/>
          <w:szCs w:val="32"/>
        </w:rPr>
        <w:t>（二）行政处罚执行费用标准</w:t>
      </w:r>
    </w:p>
    <w:p w:rsidR="005F4873" w:rsidRPr="005F4873"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5F4873">
        <w:rPr>
          <w:rFonts w:ascii="Times New Roman" w:eastAsia="仿宋_GB2312" w:hAnsi="Times New Roman"/>
          <w:sz w:val="32"/>
          <w:szCs w:val="32"/>
        </w:rPr>
        <w:t>行政处罚时计算恢复植被和林业生产条件所需费用，为恢复林业生产条件和恢复植被两项所需费用之和按下列要求实施：</w:t>
      </w:r>
    </w:p>
    <w:p w:rsidR="005F4873" w:rsidRPr="005F4873" w:rsidRDefault="005F4873" w:rsidP="00C36F08">
      <w:pPr>
        <w:pStyle w:val="a4"/>
        <w:overflowPunct w:val="0"/>
        <w:spacing w:before="0" w:line="560" w:lineRule="exact"/>
        <w:ind w:left="0" w:firstLineChars="200" w:firstLine="640"/>
        <w:jc w:val="both"/>
        <w:rPr>
          <w:rFonts w:ascii="仿宋_GB2312" w:eastAsia="仿宋_GB2312" w:cs="宋体"/>
          <w:sz w:val="32"/>
          <w:szCs w:val="32"/>
        </w:rPr>
      </w:pPr>
      <w:r w:rsidRPr="005F4873">
        <w:rPr>
          <w:rFonts w:ascii="仿宋_GB2312" w:eastAsia="仿宋_GB2312" w:cs="宋体" w:hint="eastAsia"/>
          <w:sz w:val="32"/>
          <w:szCs w:val="32"/>
        </w:rPr>
        <w:t>1.恢复林业生产条件费用执行标准对非法破坏林地行为导致林地土层轻度损毁的按每平方米30-50元，林地土层严重损毁或地表硬化的按每平方米50-70元，林地无保留表土层的按每平方米70-100元执行（详见附表1 林地损毁类型分类一览表）。</w:t>
      </w:r>
    </w:p>
    <w:p w:rsidR="005F4873" w:rsidRPr="005F4873" w:rsidRDefault="005F4873" w:rsidP="00C36F08">
      <w:pPr>
        <w:pStyle w:val="a4"/>
        <w:overflowPunct w:val="0"/>
        <w:spacing w:before="0" w:line="560" w:lineRule="exact"/>
        <w:ind w:left="0" w:firstLineChars="200" w:firstLine="640"/>
        <w:jc w:val="both"/>
        <w:rPr>
          <w:rFonts w:ascii="仿宋_GB2312" w:eastAsia="仿宋_GB2312" w:cs="宋体"/>
          <w:sz w:val="32"/>
          <w:szCs w:val="32"/>
        </w:rPr>
      </w:pPr>
      <w:r w:rsidRPr="005F4873">
        <w:rPr>
          <w:rFonts w:ascii="仿宋_GB2312" w:eastAsia="仿宋_GB2312" w:cs="宋体" w:hint="eastAsia"/>
          <w:sz w:val="32"/>
          <w:szCs w:val="32"/>
        </w:rPr>
        <w:t>2.恢复植被费用执行标准。参照《关于调整自治区森林植被恢复费征收标准等有关问题的通知》（新财非税〔2016〕22号）相关标准执行。</w:t>
      </w:r>
    </w:p>
    <w:p w:rsidR="005F4873" w:rsidRPr="005F4873" w:rsidRDefault="005F4873" w:rsidP="00C36F08">
      <w:pPr>
        <w:pStyle w:val="a4"/>
        <w:overflowPunct w:val="0"/>
        <w:spacing w:before="0" w:line="560" w:lineRule="exact"/>
        <w:ind w:left="0" w:firstLineChars="200" w:firstLine="640"/>
        <w:jc w:val="both"/>
        <w:rPr>
          <w:rFonts w:ascii="楷体" w:eastAsia="楷体" w:hAnsi="楷体" w:cs="宋体"/>
          <w:sz w:val="32"/>
          <w:szCs w:val="32"/>
        </w:rPr>
      </w:pPr>
      <w:r w:rsidRPr="005F4873">
        <w:rPr>
          <w:rFonts w:ascii="楷体" w:eastAsia="楷体" w:hAnsi="楷体" w:cs="宋体"/>
          <w:sz w:val="32"/>
          <w:szCs w:val="32"/>
        </w:rPr>
        <w:t>（三）代履行费用</w:t>
      </w:r>
    </w:p>
    <w:p w:rsidR="005F4873" w:rsidRPr="005F4873" w:rsidRDefault="005F4873" w:rsidP="00C36F08">
      <w:pPr>
        <w:pStyle w:val="a4"/>
        <w:overflowPunct w:val="0"/>
        <w:spacing w:before="0" w:line="560" w:lineRule="exact"/>
        <w:ind w:left="0" w:firstLineChars="200" w:firstLine="640"/>
        <w:jc w:val="both"/>
        <w:rPr>
          <w:rFonts w:ascii="仿宋_GB2312" w:eastAsia="仿宋_GB2312" w:cs="宋体"/>
          <w:sz w:val="32"/>
          <w:szCs w:val="32"/>
        </w:rPr>
      </w:pPr>
      <w:r w:rsidRPr="005F4873">
        <w:rPr>
          <w:rFonts w:ascii="仿宋_GB2312" w:eastAsia="仿宋_GB2312" w:cs="宋体"/>
          <w:sz w:val="32"/>
          <w:szCs w:val="32"/>
        </w:rPr>
        <w:t>除包括上述（二）中两项费用外，还可包括《中华人民共和国民法典》第一千二百三十五条第一款第三项和第五项规定的费用，即生态环境损害调查、鉴定、评估等费用；防止损害发生和扩大所支出的合理费用（具体费用需结合损害范围、修复技术难度及区域经济水平综合核定，实践中可通过司法鉴定</w:t>
      </w:r>
      <w:r w:rsidRPr="005F4873">
        <w:rPr>
          <w:rFonts w:ascii="仿宋_GB2312" w:eastAsia="仿宋_GB2312" w:cs="宋体"/>
          <w:sz w:val="32"/>
          <w:szCs w:val="32"/>
        </w:rPr>
        <w:lastRenderedPageBreak/>
        <w:t>或第三方评估明确金额</w:t>
      </w:r>
      <w:r w:rsidRPr="005F4873">
        <w:rPr>
          <w:rFonts w:ascii="仿宋_GB2312" w:eastAsia="仿宋_GB2312" w:cs="宋体" w:hint="eastAsia"/>
          <w:sz w:val="32"/>
          <w:szCs w:val="32"/>
        </w:rPr>
        <w:t>‌</w:t>
      </w:r>
      <w:r w:rsidRPr="005F4873">
        <w:rPr>
          <w:rFonts w:ascii="仿宋_GB2312" w:eastAsia="仿宋_GB2312" w:cs="宋体"/>
          <w:sz w:val="32"/>
          <w:szCs w:val="32"/>
        </w:rPr>
        <w:t>）。</w:t>
      </w:r>
    </w:p>
    <w:p w:rsidR="005F4873" w:rsidRDefault="005F4873" w:rsidP="00C36F08">
      <w:pPr>
        <w:pStyle w:val="a4"/>
        <w:overflowPunct w:val="0"/>
        <w:spacing w:before="0" w:line="560" w:lineRule="exact"/>
        <w:ind w:left="0" w:firstLineChars="200" w:firstLine="640"/>
        <w:jc w:val="both"/>
        <w:rPr>
          <w:rFonts w:ascii="黑体" w:eastAsia="黑体" w:hAnsi="黑体" w:cs="黑体"/>
          <w:sz w:val="32"/>
          <w:szCs w:val="32"/>
        </w:rPr>
      </w:pPr>
      <w:r>
        <w:rPr>
          <w:rFonts w:ascii="黑体" w:eastAsia="黑体" w:hAnsi="黑体" w:cs="黑体" w:hint="eastAsia"/>
          <w:sz w:val="32"/>
          <w:szCs w:val="32"/>
        </w:rPr>
        <w:t>五、组织验收</w:t>
      </w:r>
    </w:p>
    <w:p w:rsidR="005F4873" w:rsidRPr="005F4873" w:rsidRDefault="005F4873" w:rsidP="00C36F08">
      <w:pPr>
        <w:pStyle w:val="a4"/>
        <w:overflowPunct w:val="0"/>
        <w:spacing w:before="0" w:line="560" w:lineRule="exact"/>
        <w:ind w:left="0" w:firstLineChars="200" w:firstLine="640"/>
        <w:jc w:val="both"/>
        <w:rPr>
          <w:rFonts w:ascii="仿宋_GB2312" w:eastAsia="仿宋_GB2312" w:cs="宋体"/>
          <w:sz w:val="32"/>
          <w:szCs w:val="32"/>
        </w:rPr>
      </w:pPr>
      <w:r w:rsidRPr="005F4873">
        <w:rPr>
          <w:rFonts w:ascii="仿宋_GB2312" w:eastAsia="仿宋_GB2312" w:cs="宋体"/>
          <w:sz w:val="32"/>
          <w:szCs w:val="32"/>
        </w:rPr>
        <w:t>行政相对人完成恢复植被和林业生产条件、树木补种任务后，应向所在地县级林草主管部门申请验收，县级林草主管部门应及时按规定组织验收。对验收合格的，出具验收合格确认书；对验收不合格的，应当由县级林草主管部门出具书面意见并责令限期整改，或者采取代履行方式实施恢复和补种。县级林草主管部门代履行的，应向上一级林草主管部门申请验收。</w:t>
      </w:r>
    </w:p>
    <w:p w:rsidR="005F4873" w:rsidRDefault="005F4873" w:rsidP="00C36F08">
      <w:pPr>
        <w:pStyle w:val="a4"/>
        <w:overflowPunct w:val="0"/>
        <w:spacing w:before="0" w:line="560" w:lineRule="exact"/>
        <w:ind w:left="0" w:firstLineChars="200" w:firstLine="640"/>
        <w:jc w:val="both"/>
        <w:rPr>
          <w:rFonts w:ascii="黑体" w:eastAsia="黑体" w:hAnsi="黑体" w:cs="黑体"/>
          <w:sz w:val="32"/>
          <w:szCs w:val="32"/>
        </w:rPr>
      </w:pPr>
      <w:r>
        <w:rPr>
          <w:rFonts w:ascii="黑体" w:eastAsia="黑体" w:hAnsi="黑体" w:cs="黑体" w:hint="eastAsia"/>
          <w:sz w:val="32"/>
          <w:szCs w:val="32"/>
        </w:rPr>
        <w:t>六、其他要求</w:t>
      </w:r>
    </w:p>
    <w:p w:rsidR="005F4873" w:rsidRPr="005F4873" w:rsidRDefault="005F4873" w:rsidP="00C36F08">
      <w:pPr>
        <w:pStyle w:val="a4"/>
        <w:overflowPunct w:val="0"/>
        <w:spacing w:before="0" w:line="560" w:lineRule="exact"/>
        <w:ind w:left="0" w:firstLineChars="200" w:firstLine="640"/>
        <w:jc w:val="both"/>
        <w:rPr>
          <w:rFonts w:ascii="仿宋_GB2312" w:eastAsia="仿宋_GB2312" w:cs="宋体"/>
          <w:sz w:val="32"/>
          <w:szCs w:val="32"/>
        </w:rPr>
      </w:pPr>
      <w:r w:rsidRPr="005F4873">
        <w:rPr>
          <w:rFonts w:ascii="仿宋_GB2312" w:eastAsia="仿宋_GB2312" w:cs="宋体"/>
          <w:sz w:val="32"/>
          <w:szCs w:val="32"/>
        </w:rPr>
        <w:t>（一）本标准中涉及的相关事项，有国家标准的，按照国家标准执行；没有国家标准的，参照行业标准、地方标准执行；没有行业标准、地方标准的，参考团体标准、企业标准或者当地通行做法。</w:t>
      </w:r>
    </w:p>
    <w:p w:rsidR="005F4873" w:rsidRPr="005F4873" w:rsidRDefault="005F4873" w:rsidP="00C36F08">
      <w:pPr>
        <w:pStyle w:val="a4"/>
        <w:overflowPunct w:val="0"/>
        <w:spacing w:before="0" w:line="560" w:lineRule="exact"/>
        <w:ind w:left="0" w:firstLineChars="200" w:firstLine="640"/>
        <w:jc w:val="both"/>
        <w:rPr>
          <w:rFonts w:ascii="仿宋_GB2312" w:eastAsia="仿宋_GB2312" w:cs="宋体"/>
          <w:sz w:val="32"/>
          <w:szCs w:val="32"/>
        </w:rPr>
      </w:pPr>
      <w:r w:rsidRPr="005F4873">
        <w:rPr>
          <w:rFonts w:ascii="仿宋_GB2312" w:eastAsia="仿宋_GB2312" w:cs="宋体"/>
          <w:sz w:val="32"/>
          <w:szCs w:val="32"/>
        </w:rPr>
        <w:t>（二）本标准所列标准、规范性文件，如有新的修订或新的规定，按最新标准、规范性文件执行。</w:t>
      </w:r>
    </w:p>
    <w:p w:rsidR="005F4873" w:rsidRPr="002E07D7"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2E07D7">
        <w:rPr>
          <w:rFonts w:ascii="Times New Roman" w:eastAsia="仿宋_GB2312" w:hAnsi="Times New Roman"/>
          <w:sz w:val="32"/>
          <w:szCs w:val="32"/>
        </w:rPr>
        <w:t>（三）本标准由自治区林业和草原局负责解释。本标准自</w:t>
      </w:r>
      <w:r w:rsidRPr="002E07D7">
        <w:rPr>
          <w:rFonts w:ascii="Times New Roman" w:eastAsia="仿宋_GB2312" w:hAnsi="Times New Roman"/>
          <w:sz w:val="32"/>
          <w:szCs w:val="32"/>
        </w:rPr>
        <w:t>2025</w:t>
      </w:r>
      <w:r w:rsidRPr="002E07D7">
        <w:rPr>
          <w:rFonts w:ascii="Times New Roman" w:eastAsia="仿宋_GB2312" w:hAnsi="Times New Roman"/>
          <w:sz w:val="32"/>
          <w:szCs w:val="32"/>
        </w:rPr>
        <w:t>年</w:t>
      </w:r>
      <w:r w:rsidR="002E07D7">
        <w:rPr>
          <w:rFonts w:ascii="Times New Roman" w:eastAsia="仿宋_GB2312" w:hAnsi="Times New Roman" w:hint="eastAsia"/>
          <w:sz w:val="32"/>
          <w:szCs w:val="32"/>
        </w:rPr>
        <w:t>X</w:t>
      </w:r>
      <w:r w:rsidRPr="002E07D7">
        <w:rPr>
          <w:rFonts w:ascii="Times New Roman" w:eastAsia="仿宋_GB2312" w:hAnsi="Times New Roman"/>
          <w:sz w:val="32"/>
          <w:szCs w:val="32"/>
        </w:rPr>
        <w:t>月</w:t>
      </w:r>
      <w:r w:rsidR="002E07D7">
        <w:rPr>
          <w:rFonts w:ascii="Times New Roman" w:eastAsia="仿宋_GB2312" w:hAnsi="Times New Roman" w:hint="eastAsia"/>
          <w:sz w:val="32"/>
          <w:szCs w:val="32"/>
        </w:rPr>
        <w:t>XX</w:t>
      </w:r>
      <w:r w:rsidRPr="002E07D7">
        <w:rPr>
          <w:rFonts w:ascii="Times New Roman" w:eastAsia="仿宋_GB2312" w:hAnsi="Times New Roman"/>
          <w:sz w:val="32"/>
          <w:szCs w:val="32"/>
        </w:rPr>
        <w:t>日起至</w:t>
      </w:r>
      <w:r w:rsidRPr="002E07D7">
        <w:rPr>
          <w:rFonts w:ascii="Times New Roman" w:eastAsia="仿宋_GB2312" w:hAnsi="Times New Roman"/>
          <w:sz w:val="32"/>
          <w:szCs w:val="32"/>
        </w:rPr>
        <w:t>20</w:t>
      </w:r>
      <w:r w:rsidR="002E07D7">
        <w:rPr>
          <w:rFonts w:ascii="Times New Roman" w:eastAsia="仿宋_GB2312" w:hAnsi="Times New Roman" w:hint="eastAsia"/>
          <w:sz w:val="32"/>
          <w:szCs w:val="32"/>
        </w:rPr>
        <w:t>XX</w:t>
      </w:r>
      <w:r w:rsidRPr="002E07D7">
        <w:rPr>
          <w:rFonts w:ascii="Times New Roman" w:eastAsia="仿宋_GB2312" w:hAnsi="Times New Roman"/>
          <w:sz w:val="32"/>
          <w:szCs w:val="32"/>
        </w:rPr>
        <w:t>年</w:t>
      </w:r>
      <w:r w:rsidR="002E07D7">
        <w:rPr>
          <w:rFonts w:ascii="Times New Roman" w:eastAsia="仿宋_GB2312" w:hAnsi="Times New Roman" w:hint="eastAsia"/>
          <w:sz w:val="32"/>
          <w:szCs w:val="32"/>
        </w:rPr>
        <w:t>X</w:t>
      </w:r>
      <w:r w:rsidRPr="002E07D7">
        <w:rPr>
          <w:rFonts w:ascii="Times New Roman" w:eastAsia="仿宋_GB2312" w:hAnsi="Times New Roman"/>
          <w:sz w:val="32"/>
          <w:szCs w:val="32"/>
        </w:rPr>
        <w:t>月</w:t>
      </w:r>
      <w:r w:rsidR="002E07D7">
        <w:rPr>
          <w:rFonts w:ascii="Times New Roman" w:eastAsia="仿宋_GB2312" w:hAnsi="Times New Roman" w:hint="eastAsia"/>
          <w:sz w:val="32"/>
          <w:szCs w:val="32"/>
        </w:rPr>
        <w:t>XX</w:t>
      </w:r>
      <w:r w:rsidRPr="002E07D7">
        <w:rPr>
          <w:rFonts w:ascii="Times New Roman" w:eastAsia="仿宋_GB2312" w:hAnsi="Times New Roman"/>
          <w:sz w:val="32"/>
          <w:szCs w:val="32"/>
        </w:rPr>
        <w:t>日止。</w:t>
      </w:r>
    </w:p>
    <w:p w:rsidR="005F4873" w:rsidRPr="002E07D7"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p>
    <w:p w:rsidR="005F4873" w:rsidRPr="002E07D7" w:rsidRDefault="005F4873" w:rsidP="00C36F08">
      <w:pPr>
        <w:pStyle w:val="a4"/>
        <w:overflowPunct w:val="0"/>
        <w:spacing w:before="0" w:line="560" w:lineRule="exact"/>
        <w:ind w:left="0" w:firstLineChars="200" w:firstLine="640"/>
        <w:jc w:val="both"/>
        <w:rPr>
          <w:rFonts w:ascii="Times New Roman" w:eastAsia="仿宋_GB2312" w:hAnsi="Times New Roman"/>
          <w:sz w:val="32"/>
          <w:szCs w:val="32"/>
        </w:rPr>
      </w:pPr>
      <w:r w:rsidRPr="002E07D7">
        <w:rPr>
          <w:rFonts w:ascii="Times New Roman" w:eastAsia="仿宋_GB2312" w:hAnsi="Times New Roman"/>
          <w:sz w:val="32"/>
          <w:szCs w:val="32"/>
        </w:rPr>
        <w:t>附表</w:t>
      </w:r>
      <w:r w:rsidR="002E07D7" w:rsidRPr="002E07D7">
        <w:rPr>
          <w:rFonts w:ascii="Times New Roman" w:eastAsia="仿宋_GB2312" w:hAnsi="Times New Roman"/>
          <w:sz w:val="32"/>
          <w:szCs w:val="32"/>
        </w:rPr>
        <w:t>：</w:t>
      </w:r>
      <w:r w:rsidR="002E07D7" w:rsidRPr="002E07D7">
        <w:rPr>
          <w:rFonts w:ascii="Times New Roman" w:eastAsia="仿宋_GB2312" w:hAnsi="Times New Roman"/>
          <w:sz w:val="32"/>
          <w:szCs w:val="32"/>
        </w:rPr>
        <w:t>1.</w:t>
      </w:r>
      <w:r w:rsidRPr="002E07D7">
        <w:rPr>
          <w:rFonts w:ascii="Times New Roman" w:eastAsia="仿宋_GB2312" w:hAnsi="Times New Roman"/>
          <w:sz w:val="32"/>
          <w:szCs w:val="32"/>
        </w:rPr>
        <w:t>林地损毁类型分类一览表</w:t>
      </w:r>
    </w:p>
    <w:p w:rsidR="005F4873" w:rsidRPr="002E07D7" w:rsidRDefault="002E07D7" w:rsidP="002E07D7">
      <w:pPr>
        <w:pStyle w:val="a4"/>
        <w:overflowPunct w:val="0"/>
        <w:spacing w:before="0" w:line="560" w:lineRule="exact"/>
        <w:ind w:left="0" w:firstLineChars="487" w:firstLine="1558"/>
        <w:jc w:val="both"/>
        <w:rPr>
          <w:rFonts w:ascii="Times New Roman" w:eastAsia="仿宋_GB2312" w:hAnsi="Times New Roman"/>
          <w:sz w:val="32"/>
          <w:szCs w:val="32"/>
        </w:rPr>
      </w:pPr>
      <w:r w:rsidRPr="002E07D7">
        <w:rPr>
          <w:rFonts w:ascii="Times New Roman" w:eastAsia="仿宋_GB2312" w:hAnsi="Times New Roman"/>
          <w:sz w:val="32"/>
          <w:szCs w:val="32"/>
        </w:rPr>
        <w:t>2.</w:t>
      </w:r>
      <w:r w:rsidR="005F4873" w:rsidRPr="002E07D7">
        <w:rPr>
          <w:rFonts w:ascii="Times New Roman" w:eastAsia="仿宋_GB2312" w:hAnsi="Times New Roman"/>
          <w:sz w:val="32"/>
          <w:szCs w:val="32"/>
        </w:rPr>
        <w:t>西北干旱区土地复垦质量控制标准</w:t>
      </w:r>
    </w:p>
    <w:p w:rsidR="005F4873" w:rsidRDefault="005F4873" w:rsidP="005F4873">
      <w:pPr>
        <w:pStyle w:val="a4"/>
        <w:kinsoku w:val="0"/>
        <w:overflowPunct w:val="0"/>
        <w:spacing w:before="0"/>
        <w:ind w:left="0" w:firstLineChars="200" w:firstLine="3360"/>
        <w:rPr>
          <w:rFonts w:cs="宋体"/>
          <w:w w:val="600"/>
          <w:sz w:val="28"/>
          <w:szCs w:val="28"/>
        </w:rPr>
      </w:pPr>
    </w:p>
    <w:p w:rsidR="005F4873" w:rsidRDefault="005F4873" w:rsidP="005F4873">
      <w:pPr>
        <w:pStyle w:val="a4"/>
        <w:kinsoku w:val="0"/>
        <w:overflowPunct w:val="0"/>
        <w:spacing w:before="6"/>
        <w:ind w:left="0"/>
        <w:rPr>
          <w:rFonts w:ascii="黑体" w:eastAsia="黑体" w:hAnsi="黑体" w:cs="黑体"/>
          <w:sz w:val="32"/>
          <w:szCs w:val="32"/>
        </w:rPr>
        <w:sectPr w:rsidR="005F4873" w:rsidSect="00C36F08">
          <w:footerReference w:type="default" r:id="rId7"/>
          <w:pgSz w:w="11906" w:h="16838"/>
          <w:pgMar w:top="2098" w:right="1531" w:bottom="1985" w:left="1531" w:header="720" w:footer="720" w:gutter="0"/>
          <w:pgNumType w:fmt="numberInDash"/>
          <w:cols w:space="720"/>
          <w:docGrid w:linePitch="299"/>
        </w:sectPr>
      </w:pPr>
    </w:p>
    <w:p w:rsidR="005F4873" w:rsidRDefault="005F4873" w:rsidP="005F4873">
      <w:pPr>
        <w:pStyle w:val="a4"/>
        <w:kinsoku w:val="0"/>
        <w:overflowPunct w:val="0"/>
        <w:spacing w:before="6"/>
        <w:ind w:left="0"/>
        <w:rPr>
          <w:rFonts w:ascii="黑体" w:eastAsia="黑体" w:hAnsi="黑体" w:cs="黑体"/>
          <w:sz w:val="32"/>
          <w:szCs w:val="32"/>
        </w:rPr>
      </w:pPr>
      <w:r>
        <w:rPr>
          <w:rFonts w:ascii="黑体" w:eastAsia="黑体" w:hAnsi="黑体" w:cs="黑体" w:hint="eastAsia"/>
          <w:sz w:val="32"/>
          <w:szCs w:val="32"/>
        </w:rPr>
        <w:lastRenderedPageBreak/>
        <w:t>附表1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3"/>
        <w:gridCol w:w="2281"/>
        <w:gridCol w:w="4228"/>
        <w:gridCol w:w="1620"/>
      </w:tblGrid>
      <w:tr w:rsidR="005F4873" w:rsidTr="00312D54">
        <w:trPr>
          <w:trHeight w:val="709"/>
        </w:trPr>
        <w:tc>
          <w:tcPr>
            <w:tcW w:w="5000" w:type="pct"/>
            <w:gridSpan w:val="4"/>
            <w:tcBorders>
              <w:top w:val="nil"/>
              <w:left w:val="nil"/>
              <w:bottom w:val="single" w:sz="4" w:space="0" w:color="auto"/>
              <w:right w:val="nil"/>
              <w:tl2br w:val="nil"/>
              <w:tr2bl w:val="nil"/>
            </w:tcBorders>
            <w:vAlign w:val="center"/>
          </w:tcPr>
          <w:p w:rsidR="005F4873" w:rsidRPr="005F4873" w:rsidRDefault="005F4873" w:rsidP="00312D54">
            <w:pPr>
              <w:pStyle w:val="a4"/>
              <w:kinsoku w:val="0"/>
              <w:overflowPunct w:val="0"/>
              <w:spacing w:before="0" w:line="510" w:lineRule="exact"/>
              <w:jc w:val="center"/>
              <w:rPr>
                <w:rFonts w:ascii="黑体" w:eastAsia="黑体" w:hAnsi="黑体"/>
                <w:sz w:val="32"/>
                <w:szCs w:val="32"/>
              </w:rPr>
            </w:pPr>
            <w:r w:rsidRPr="005F4873">
              <w:rPr>
                <w:rFonts w:ascii="黑体" w:eastAsia="黑体" w:hAnsi="黑体" w:hint="eastAsia"/>
                <w:snapToGrid w:val="0"/>
                <w:sz w:val="30"/>
                <w:szCs w:val="30"/>
              </w:rPr>
              <w:t>林地损毁类型分类一览表</w:t>
            </w:r>
          </w:p>
        </w:tc>
      </w:tr>
      <w:tr w:rsidR="005F4873" w:rsidTr="00312D54">
        <w:tc>
          <w:tcPr>
            <w:tcW w:w="424"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ind w:left="0"/>
              <w:jc w:val="center"/>
              <w:rPr>
                <w:rFonts w:ascii="黑体" w:eastAsia="黑体" w:hAnsi="黑体"/>
                <w:sz w:val="21"/>
                <w:szCs w:val="21"/>
              </w:rPr>
            </w:pPr>
            <w:r w:rsidRPr="005F4873">
              <w:rPr>
                <w:rFonts w:ascii="黑体" w:eastAsia="黑体" w:hAnsi="黑体"/>
                <w:sz w:val="21"/>
                <w:szCs w:val="21"/>
              </w:rPr>
              <w:t>序号</w:t>
            </w:r>
          </w:p>
        </w:tc>
        <w:tc>
          <w:tcPr>
            <w:tcW w:w="1284"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jc w:val="center"/>
              <w:rPr>
                <w:rFonts w:ascii="黑体" w:eastAsia="黑体" w:hAnsi="黑体"/>
                <w:sz w:val="21"/>
                <w:szCs w:val="21"/>
              </w:rPr>
            </w:pPr>
            <w:r w:rsidRPr="005F4873">
              <w:rPr>
                <w:rFonts w:ascii="黑体" w:eastAsia="黑体" w:hAnsi="黑体"/>
                <w:sz w:val="21"/>
                <w:szCs w:val="21"/>
              </w:rPr>
              <w:t>林地损毁类型</w:t>
            </w:r>
          </w:p>
        </w:tc>
        <w:tc>
          <w:tcPr>
            <w:tcW w:w="2380"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jc w:val="center"/>
              <w:rPr>
                <w:rFonts w:ascii="黑体" w:eastAsia="黑体" w:hAnsi="黑体"/>
                <w:sz w:val="21"/>
                <w:szCs w:val="21"/>
              </w:rPr>
            </w:pPr>
            <w:r w:rsidRPr="005F4873">
              <w:rPr>
                <w:rFonts w:ascii="黑体" w:eastAsia="黑体" w:hAnsi="黑体"/>
                <w:sz w:val="21"/>
                <w:szCs w:val="21"/>
              </w:rPr>
              <w:t>林地损毁分类</w:t>
            </w:r>
          </w:p>
        </w:tc>
        <w:tc>
          <w:tcPr>
            <w:tcW w:w="910"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jc w:val="center"/>
              <w:rPr>
                <w:rFonts w:ascii="黑体" w:eastAsia="黑体" w:hAnsi="黑体"/>
                <w:sz w:val="21"/>
                <w:szCs w:val="21"/>
              </w:rPr>
            </w:pPr>
            <w:r w:rsidRPr="005F4873">
              <w:rPr>
                <w:rFonts w:ascii="黑体" w:eastAsia="黑体" w:hAnsi="黑体"/>
                <w:sz w:val="21"/>
                <w:szCs w:val="21"/>
              </w:rPr>
              <w:t>费用执行标准</w:t>
            </w:r>
          </w:p>
          <w:p w:rsidR="005F4873" w:rsidRPr="005F4873" w:rsidRDefault="005F4873" w:rsidP="00312D54">
            <w:pPr>
              <w:pStyle w:val="a4"/>
              <w:kinsoku w:val="0"/>
              <w:overflowPunct w:val="0"/>
              <w:spacing w:before="6"/>
              <w:jc w:val="center"/>
              <w:rPr>
                <w:rFonts w:ascii="黑体" w:eastAsia="黑体" w:hAnsi="黑体"/>
                <w:sz w:val="21"/>
                <w:szCs w:val="21"/>
              </w:rPr>
            </w:pPr>
            <w:r w:rsidRPr="005F4873">
              <w:rPr>
                <w:rFonts w:ascii="黑体" w:eastAsia="黑体" w:hAnsi="黑体"/>
                <w:sz w:val="21"/>
                <w:szCs w:val="21"/>
              </w:rPr>
              <w:t>（元/m</w:t>
            </w:r>
            <w:r w:rsidRPr="005F4873">
              <w:rPr>
                <w:rFonts w:ascii="黑体" w:eastAsia="黑体" w:hAnsi="黑体"/>
                <w:sz w:val="21"/>
                <w:szCs w:val="21"/>
                <w:vertAlign w:val="superscript"/>
              </w:rPr>
              <w:t>2</w:t>
            </w:r>
            <w:r w:rsidRPr="005F4873">
              <w:rPr>
                <w:rFonts w:ascii="黑体" w:eastAsia="黑体" w:hAnsi="黑体"/>
                <w:sz w:val="21"/>
                <w:szCs w:val="21"/>
              </w:rPr>
              <w:t>）</w:t>
            </w:r>
          </w:p>
        </w:tc>
      </w:tr>
      <w:tr w:rsidR="005F4873" w:rsidTr="00312D54">
        <w:trPr>
          <w:trHeight w:val="747"/>
        </w:trPr>
        <w:tc>
          <w:tcPr>
            <w:tcW w:w="424"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jc w:val="center"/>
              <w:rPr>
                <w:rFonts w:ascii="Times New Roman" w:eastAsia="仿宋_GB2312" w:hAnsi="Times New Roman"/>
                <w:sz w:val="21"/>
                <w:szCs w:val="21"/>
              </w:rPr>
            </w:pPr>
            <w:r w:rsidRPr="005F4873">
              <w:rPr>
                <w:rFonts w:ascii="Times New Roman" w:eastAsia="仿宋_GB2312" w:hAnsi="Times New Roman"/>
                <w:sz w:val="21"/>
                <w:szCs w:val="21"/>
              </w:rPr>
              <w:t>1</w:t>
            </w:r>
          </w:p>
        </w:tc>
        <w:tc>
          <w:tcPr>
            <w:tcW w:w="1284"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jc w:val="center"/>
              <w:rPr>
                <w:rFonts w:ascii="Times New Roman" w:eastAsia="仿宋_GB2312" w:hAnsi="Times New Roman"/>
                <w:sz w:val="21"/>
                <w:szCs w:val="21"/>
              </w:rPr>
            </w:pPr>
            <w:r w:rsidRPr="005F4873">
              <w:rPr>
                <w:rFonts w:ascii="Times New Roman" w:eastAsia="仿宋_GB2312" w:hAnsi="Times New Roman"/>
                <w:sz w:val="21"/>
                <w:szCs w:val="21"/>
              </w:rPr>
              <w:t>轻度损毁</w:t>
            </w:r>
          </w:p>
        </w:tc>
        <w:tc>
          <w:tcPr>
            <w:tcW w:w="2380"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rPr>
                <w:rFonts w:ascii="Times New Roman" w:eastAsia="仿宋_GB2312" w:hAnsi="Times New Roman"/>
                <w:sz w:val="21"/>
                <w:szCs w:val="21"/>
              </w:rPr>
            </w:pPr>
            <w:r w:rsidRPr="005F4873">
              <w:rPr>
                <w:rFonts w:ascii="Times New Roman" w:eastAsia="仿宋_GB2312" w:hAnsi="Times New Roman"/>
                <w:sz w:val="21"/>
                <w:szCs w:val="21"/>
              </w:rPr>
              <w:t>包括砂石路面压占、围墙（砖混）压占和木屋压占。</w:t>
            </w:r>
          </w:p>
        </w:tc>
        <w:tc>
          <w:tcPr>
            <w:tcW w:w="910"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jc w:val="center"/>
              <w:rPr>
                <w:rFonts w:ascii="Times New Roman" w:eastAsia="仿宋_GB2312" w:hAnsi="Times New Roman"/>
                <w:sz w:val="21"/>
                <w:szCs w:val="21"/>
              </w:rPr>
            </w:pPr>
            <w:r w:rsidRPr="005F4873">
              <w:rPr>
                <w:rFonts w:ascii="Times New Roman" w:eastAsia="仿宋_GB2312" w:hAnsi="Times New Roman"/>
                <w:sz w:val="21"/>
                <w:szCs w:val="21"/>
              </w:rPr>
              <w:t>30-50</w:t>
            </w:r>
          </w:p>
        </w:tc>
      </w:tr>
      <w:tr w:rsidR="005F4873" w:rsidTr="00312D54">
        <w:trPr>
          <w:trHeight w:val="1145"/>
        </w:trPr>
        <w:tc>
          <w:tcPr>
            <w:tcW w:w="424"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jc w:val="center"/>
              <w:rPr>
                <w:rFonts w:ascii="Times New Roman" w:eastAsia="仿宋_GB2312" w:hAnsi="Times New Roman"/>
                <w:sz w:val="21"/>
                <w:szCs w:val="21"/>
              </w:rPr>
            </w:pPr>
            <w:r w:rsidRPr="005F4873">
              <w:rPr>
                <w:rFonts w:ascii="Times New Roman" w:eastAsia="仿宋_GB2312" w:hAnsi="Times New Roman"/>
                <w:sz w:val="21"/>
                <w:szCs w:val="21"/>
              </w:rPr>
              <w:t>2</w:t>
            </w:r>
          </w:p>
        </w:tc>
        <w:tc>
          <w:tcPr>
            <w:tcW w:w="1284"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jc w:val="center"/>
              <w:rPr>
                <w:rFonts w:ascii="Times New Roman" w:eastAsia="仿宋_GB2312" w:hAnsi="Times New Roman"/>
                <w:sz w:val="21"/>
                <w:szCs w:val="21"/>
              </w:rPr>
            </w:pPr>
            <w:r w:rsidRPr="005F4873">
              <w:rPr>
                <w:rFonts w:ascii="Times New Roman" w:eastAsia="仿宋_GB2312" w:hAnsi="Times New Roman"/>
                <w:sz w:val="21"/>
                <w:szCs w:val="21"/>
              </w:rPr>
              <w:t>中度损毁</w:t>
            </w:r>
          </w:p>
          <w:p w:rsidR="005F4873" w:rsidRPr="005F4873" w:rsidRDefault="005F4873" w:rsidP="00312D54">
            <w:pPr>
              <w:pStyle w:val="a4"/>
              <w:kinsoku w:val="0"/>
              <w:overflowPunct w:val="0"/>
              <w:spacing w:before="6"/>
              <w:jc w:val="center"/>
              <w:rPr>
                <w:rFonts w:ascii="Times New Roman" w:eastAsia="仿宋_GB2312" w:hAnsi="Times New Roman"/>
                <w:sz w:val="21"/>
                <w:szCs w:val="21"/>
              </w:rPr>
            </w:pPr>
            <w:r w:rsidRPr="005F4873">
              <w:rPr>
                <w:rFonts w:ascii="Times New Roman" w:eastAsia="仿宋_GB2312" w:hAnsi="Times New Roman"/>
                <w:sz w:val="21"/>
                <w:szCs w:val="21"/>
              </w:rPr>
              <w:t>（林地土层严重损毁或地表硬化）</w:t>
            </w:r>
          </w:p>
        </w:tc>
        <w:tc>
          <w:tcPr>
            <w:tcW w:w="2380"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rPr>
                <w:rFonts w:ascii="Times New Roman" w:eastAsia="仿宋_GB2312" w:hAnsi="Times New Roman"/>
                <w:sz w:val="21"/>
                <w:szCs w:val="21"/>
              </w:rPr>
            </w:pPr>
            <w:r w:rsidRPr="005F4873">
              <w:rPr>
                <w:rFonts w:ascii="Times New Roman" w:eastAsia="仿宋_GB2312" w:hAnsi="Times New Roman"/>
                <w:sz w:val="21"/>
                <w:szCs w:val="21"/>
              </w:rPr>
              <w:t>包括沥青场地压占、彩钢板房压占、混凝土地面压占、简易房屋（钢结构）压占、平房（砖混）压占。</w:t>
            </w:r>
          </w:p>
        </w:tc>
        <w:tc>
          <w:tcPr>
            <w:tcW w:w="910"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jc w:val="center"/>
              <w:rPr>
                <w:rFonts w:ascii="Times New Roman" w:eastAsia="仿宋_GB2312" w:hAnsi="Times New Roman"/>
                <w:sz w:val="21"/>
                <w:szCs w:val="21"/>
              </w:rPr>
            </w:pPr>
            <w:r w:rsidRPr="005F4873">
              <w:rPr>
                <w:rFonts w:ascii="Times New Roman" w:eastAsia="仿宋_GB2312" w:hAnsi="Times New Roman"/>
                <w:sz w:val="21"/>
                <w:szCs w:val="21"/>
              </w:rPr>
              <w:t>50-70</w:t>
            </w:r>
          </w:p>
        </w:tc>
      </w:tr>
      <w:tr w:rsidR="005F4873" w:rsidTr="00312D54">
        <w:trPr>
          <w:trHeight w:val="1247"/>
        </w:trPr>
        <w:tc>
          <w:tcPr>
            <w:tcW w:w="424"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jc w:val="center"/>
              <w:rPr>
                <w:rFonts w:ascii="Times New Roman" w:eastAsia="仿宋_GB2312" w:hAnsi="Times New Roman"/>
                <w:sz w:val="21"/>
                <w:szCs w:val="21"/>
              </w:rPr>
            </w:pPr>
            <w:r w:rsidRPr="005F4873">
              <w:rPr>
                <w:rFonts w:ascii="Times New Roman" w:eastAsia="仿宋_GB2312" w:hAnsi="Times New Roman"/>
                <w:sz w:val="21"/>
                <w:szCs w:val="21"/>
              </w:rPr>
              <w:t>3</w:t>
            </w:r>
          </w:p>
        </w:tc>
        <w:tc>
          <w:tcPr>
            <w:tcW w:w="1284"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jc w:val="center"/>
              <w:rPr>
                <w:rFonts w:ascii="Times New Roman" w:eastAsia="仿宋_GB2312" w:hAnsi="Times New Roman"/>
                <w:sz w:val="21"/>
                <w:szCs w:val="21"/>
              </w:rPr>
            </w:pPr>
            <w:r w:rsidRPr="005F4873">
              <w:rPr>
                <w:rFonts w:ascii="Times New Roman" w:eastAsia="仿宋_GB2312" w:hAnsi="Times New Roman"/>
                <w:sz w:val="21"/>
                <w:szCs w:val="21"/>
              </w:rPr>
              <w:t>重度损毁</w:t>
            </w:r>
          </w:p>
          <w:p w:rsidR="005F4873" w:rsidRPr="005F4873" w:rsidRDefault="005F4873" w:rsidP="00312D54">
            <w:pPr>
              <w:pStyle w:val="a4"/>
              <w:kinsoku w:val="0"/>
              <w:overflowPunct w:val="0"/>
              <w:spacing w:before="6"/>
              <w:jc w:val="center"/>
              <w:rPr>
                <w:rFonts w:ascii="Times New Roman" w:eastAsia="仿宋_GB2312" w:hAnsi="Times New Roman"/>
                <w:sz w:val="21"/>
                <w:szCs w:val="21"/>
              </w:rPr>
            </w:pPr>
            <w:r w:rsidRPr="005F4873">
              <w:rPr>
                <w:rFonts w:ascii="Times New Roman" w:eastAsia="仿宋_GB2312" w:hAnsi="Times New Roman"/>
                <w:sz w:val="21"/>
                <w:szCs w:val="21"/>
              </w:rPr>
              <w:t>（林地无保留土屋）</w:t>
            </w:r>
          </w:p>
        </w:tc>
        <w:tc>
          <w:tcPr>
            <w:tcW w:w="2380"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rPr>
                <w:rFonts w:ascii="Times New Roman" w:eastAsia="仿宋_GB2312" w:hAnsi="Times New Roman"/>
                <w:sz w:val="21"/>
                <w:szCs w:val="21"/>
              </w:rPr>
            </w:pPr>
            <w:r w:rsidRPr="005F4873">
              <w:rPr>
                <w:rFonts w:ascii="Times New Roman" w:eastAsia="仿宋_GB2312" w:hAnsi="Times New Roman"/>
                <w:sz w:val="21"/>
                <w:szCs w:val="21"/>
              </w:rPr>
              <w:t>包括平房（框架）压占、楼房（砖混、多层）压占、楼房（框架、多层）压占、挖损（取土场、露天采场）、堆土场压占、楼房（框架、高层）压占。</w:t>
            </w:r>
          </w:p>
        </w:tc>
        <w:tc>
          <w:tcPr>
            <w:tcW w:w="910" w:type="pct"/>
            <w:tcBorders>
              <w:top w:val="single" w:sz="4" w:space="0" w:color="auto"/>
              <w:left w:val="single" w:sz="4" w:space="0" w:color="auto"/>
              <w:bottom w:val="single" w:sz="4" w:space="0" w:color="auto"/>
              <w:right w:val="single" w:sz="4" w:space="0" w:color="auto"/>
              <w:tl2br w:val="nil"/>
              <w:tr2bl w:val="nil"/>
            </w:tcBorders>
            <w:vAlign w:val="center"/>
          </w:tcPr>
          <w:p w:rsidR="005F4873" w:rsidRPr="005F4873" w:rsidRDefault="005F4873" w:rsidP="00312D54">
            <w:pPr>
              <w:pStyle w:val="a4"/>
              <w:kinsoku w:val="0"/>
              <w:overflowPunct w:val="0"/>
              <w:spacing w:before="6"/>
              <w:jc w:val="center"/>
              <w:rPr>
                <w:rFonts w:ascii="Times New Roman" w:eastAsia="仿宋_GB2312" w:hAnsi="Times New Roman"/>
                <w:sz w:val="21"/>
                <w:szCs w:val="21"/>
              </w:rPr>
            </w:pPr>
            <w:r w:rsidRPr="005F4873">
              <w:rPr>
                <w:rFonts w:ascii="Times New Roman" w:eastAsia="仿宋_GB2312" w:hAnsi="Times New Roman"/>
                <w:sz w:val="21"/>
                <w:szCs w:val="21"/>
              </w:rPr>
              <w:t>70-100</w:t>
            </w:r>
          </w:p>
        </w:tc>
      </w:tr>
    </w:tbl>
    <w:p w:rsidR="005F4873" w:rsidRDefault="002964F5" w:rsidP="005F4873">
      <w:pPr>
        <w:pStyle w:val="a4"/>
        <w:kinsoku w:val="0"/>
        <w:overflowPunct w:val="0"/>
        <w:spacing w:before="0"/>
        <w:ind w:left="16814" w:right="166"/>
        <w:rPr>
          <w:rFonts w:cs="宋体"/>
          <w:sz w:val="28"/>
          <w:szCs w:val="28"/>
        </w:rPr>
      </w:pPr>
      <w:r>
        <w:rPr>
          <w:rFonts w:cs="宋体"/>
          <w:sz w:val="28"/>
          <w:szCs w:val="28"/>
        </w:rPr>
        <w:pict>
          <v:shapetype id="_x0000_t202" coordsize="21600,21600" o:spt="202" path="m,l,21600r21600,l21600,xe">
            <v:stroke joinstyle="miter"/>
            <v:path gradientshapeok="t" o:connecttype="rect"/>
          </v:shapetype>
          <v:shape id="文本框 11" o:spid="_x0000_s1026" type="#_x0000_t202" style="position:absolute;left:0;text-align:left;margin-left:394pt;margin-top:-21.55pt;width:38.15pt;height:30.5pt;z-index:-251658752;mso-position-horizontal-relative:page;mso-position-vertical-relative:text" filled="f" stroked="f">
            <v:textbox inset="0,0,0,0">
              <w:txbxContent>
                <w:p w:rsidR="005F4873" w:rsidRDefault="005F4873" w:rsidP="005F4873">
                  <w:pPr>
                    <w:pStyle w:val="a4"/>
                    <w:kinsoku w:val="0"/>
                    <w:overflowPunct w:val="0"/>
                    <w:spacing w:before="0" w:line="610" w:lineRule="exact"/>
                    <w:ind w:left="0"/>
                    <w:rPr>
                      <w:color w:val="000000"/>
                      <w:sz w:val="61"/>
                    </w:rPr>
                  </w:pPr>
                  <w:r>
                    <w:rPr>
                      <w:color w:val="8E8E8E"/>
                      <w:w w:val="120"/>
                      <w:sz w:val="61"/>
                    </w:rPr>
                    <w:t>．</w:t>
                  </w:r>
                </w:p>
              </w:txbxContent>
            </v:textbox>
            <w10:wrap anchorx="page"/>
          </v:shape>
        </w:pict>
      </w:r>
      <w:r w:rsidR="005F4873">
        <w:rPr>
          <w:rFonts w:cs="宋体"/>
          <w:w w:val="600"/>
          <w:sz w:val="28"/>
          <w:szCs w:val="28"/>
        </w:rPr>
        <w:t>－</w:t>
      </w:r>
      <w:r w:rsidR="005F4873">
        <w:rPr>
          <w:rFonts w:cs="宋体"/>
          <w:w w:val="114"/>
          <w:sz w:val="28"/>
          <w:szCs w:val="28"/>
        </w:rPr>
        <w:t>盹</w:t>
      </w:r>
    </w:p>
    <w:p w:rsidR="005F4873" w:rsidRDefault="005F4873" w:rsidP="005F4873">
      <w:pPr>
        <w:pStyle w:val="a4"/>
        <w:kinsoku w:val="0"/>
        <w:overflowPunct w:val="0"/>
        <w:spacing w:before="0"/>
        <w:ind w:right="166"/>
        <w:rPr>
          <w:rFonts w:cs="宋体"/>
          <w:sz w:val="28"/>
          <w:szCs w:val="28"/>
        </w:rPr>
        <w:sectPr w:rsidR="005F4873" w:rsidSect="00C36F08">
          <w:pgSz w:w="11906" w:h="16838"/>
          <w:pgMar w:top="1440" w:right="1800" w:bottom="1803" w:left="1440" w:header="720" w:footer="720" w:gutter="0"/>
          <w:pgNumType w:fmt="numberInDash"/>
          <w:cols w:space="720"/>
        </w:sectPr>
      </w:pPr>
    </w:p>
    <w:p w:rsidR="005F4873" w:rsidRPr="005F4873" w:rsidRDefault="005F4873" w:rsidP="005F4873">
      <w:pPr>
        <w:pStyle w:val="a4"/>
        <w:kinsoku w:val="0"/>
        <w:overflowPunct w:val="0"/>
        <w:spacing w:before="0" w:line="490" w:lineRule="exact"/>
        <w:ind w:left="0"/>
        <w:rPr>
          <w:rFonts w:ascii="黑体" w:eastAsia="黑体" w:hAnsi="黑体" w:cs="方正公文小标宋"/>
          <w:snapToGrid w:val="0"/>
          <w:sz w:val="32"/>
          <w:szCs w:val="32"/>
        </w:rPr>
      </w:pPr>
      <w:bookmarkStart w:id="0" w:name="新疆标准009"/>
      <w:bookmarkEnd w:id="0"/>
      <w:r w:rsidRPr="005F4873">
        <w:rPr>
          <w:rFonts w:ascii="黑体" w:eastAsia="黑体" w:hAnsi="黑体" w:cs="方正公文小标宋" w:hint="eastAsia"/>
          <w:snapToGrid w:val="0"/>
          <w:sz w:val="32"/>
          <w:szCs w:val="32"/>
        </w:rPr>
        <w:lastRenderedPageBreak/>
        <w:t xml:space="preserve">附表2 </w:t>
      </w:r>
    </w:p>
    <w:p w:rsidR="005F4873" w:rsidRPr="00C36F08" w:rsidRDefault="005F4873" w:rsidP="005F4873">
      <w:pPr>
        <w:pStyle w:val="a4"/>
        <w:kinsoku w:val="0"/>
        <w:overflowPunct w:val="0"/>
        <w:spacing w:before="0" w:line="490" w:lineRule="exact"/>
        <w:ind w:left="0"/>
        <w:jc w:val="center"/>
        <w:rPr>
          <w:rFonts w:ascii="黑体" w:eastAsia="黑体" w:hAnsi="黑体" w:cs="方正公文小标宋"/>
          <w:snapToGrid w:val="0"/>
          <w:sz w:val="30"/>
          <w:szCs w:val="30"/>
        </w:rPr>
      </w:pPr>
      <w:r w:rsidRPr="00C36F08">
        <w:rPr>
          <w:rFonts w:ascii="黑体" w:eastAsia="黑体" w:hAnsi="黑体" w:cs="方正公文小标宋" w:hint="eastAsia"/>
          <w:snapToGrid w:val="0"/>
          <w:sz w:val="30"/>
          <w:szCs w:val="30"/>
        </w:rPr>
        <w:t>西北干旱区土地复垦质量控制标准</w:t>
      </w:r>
    </w:p>
    <w:tbl>
      <w:tblPr>
        <w:tblW w:w="5226" w:type="pct"/>
        <w:tblLook w:val="0000"/>
      </w:tblPr>
      <w:tblGrid>
        <w:gridCol w:w="597"/>
        <w:gridCol w:w="600"/>
        <w:gridCol w:w="1170"/>
        <w:gridCol w:w="2487"/>
        <w:gridCol w:w="4616"/>
      </w:tblGrid>
      <w:tr w:rsidR="005F4873" w:rsidRPr="005F4873" w:rsidTr="00C36F08">
        <w:trPr>
          <w:trHeight w:hRule="exact" w:val="586"/>
          <w:tblHeader/>
        </w:trPr>
        <w:tc>
          <w:tcPr>
            <w:tcW w:w="632" w:type="pct"/>
            <w:gridSpan w:val="2"/>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5F4873" w:rsidRDefault="005F4873" w:rsidP="00312D54">
            <w:pPr>
              <w:pStyle w:val="TableParagraph"/>
              <w:kinsoku w:val="0"/>
              <w:overflowPunct w:val="0"/>
              <w:spacing w:line="351" w:lineRule="exact"/>
              <w:jc w:val="center"/>
              <w:rPr>
                <w:rFonts w:ascii="黑体" w:eastAsia="黑体" w:hAnsi="黑体"/>
                <w:sz w:val="21"/>
                <w:szCs w:val="21"/>
              </w:rPr>
            </w:pPr>
            <w:r w:rsidRPr="005F4873">
              <w:rPr>
                <w:rFonts w:ascii="黑体" w:eastAsia="黑体" w:hAnsi="黑体"/>
                <w:sz w:val="21"/>
                <w:szCs w:val="21"/>
              </w:rPr>
              <w:t>复垦方向</w:t>
            </w:r>
          </w:p>
        </w:tc>
        <w:tc>
          <w:tcPr>
            <w:tcW w:w="618"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5F4873" w:rsidRDefault="005F4873" w:rsidP="00312D54">
            <w:pPr>
              <w:pStyle w:val="TableParagraph"/>
              <w:kinsoku w:val="0"/>
              <w:overflowPunct w:val="0"/>
              <w:spacing w:line="351" w:lineRule="exact"/>
              <w:jc w:val="center"/>
              <w:rPr>
                <w:rFonts w:ascii="黑体" w:eastAsia="黑体" w:hAnsi="黑体"/>
                <w:sz w:val="21"/>
                <w:szCs w:val="21"/>
              </w:rPr>
            </w:pPr>
            <w:r w:rsidRPr="005F4873">
              <w:rPr>
                <w:rFonts w:ascii="黑体" w:eastAsia="黑体" w:hAnsi="黑体"/>
                <w:sz w:val="21"/>
                <w:szCs w:val="21"/>
              </w:rPr>
              <w:t>指标类型</w:t>
            </w: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5F4873" w:rsidRDefault="005F4873" w:rsidP="00312D54">
            <w:pPr>
              <w:pStyle w:val="TableParagraph"/>
              <w:kinsoku w:val="0"/>
              <w:overflowPunct w:val="0"/>
              <w:spacing w:line="351" w:lineRule="exact"/>
              <w:jc w:val="center"/>
              <w:rPr>
                <w:rFonts w:ascii="黑体" w:eastAsia="黑体" w:hAnsi="黑体"/>
                <w:sz w:val="21"/>
                <w:szCs w:val="21"/>
              </w:rPr>
            </w:pPr>
            <w:r w:rsidRPr="005F4873">
              <w:rPr>
                <w:rFonts w:ascii="黑体" w:eastAsia="黑体" w:hAnsi="黑体"/>
                <w:sz w:val="21"/>
                <w:szCs w:val="21"/>
              </w:rPr>
              <w:t>基本指标</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5F4873" w:rsidRDefault="005F4873" w:rsidP="00312D54">
            <w:pPr>
              <w:pStyle w:val="TableParagraph"/>
              <w:kinsoku w:val="0"/>
              <w:overflowPunct w:val="0"/>
              <w:spacing w:line="351" w:lineRule="exact"/>
              <w:jc w:val="center"/>
              <w:rPr>
                <w:rFonts w:ascii="黑体" w:eastAsia="黑体" w:hAnsi="黑体"/>
                <w:sz w:val="21"/>
                <w:szCs w:val="21"/>
              </w:rPr>
            </w:pPr>
            <w:r w:rsidRPr="005F4873">
              <w:rPr>
                <w:rFonts w:ascii="黑体" w:eastAsia="黑体" w:hAnsi="黑体"/>
                <w:sz w:val="21"/>
                <w:szCs w:val="21"/>
              </w:rPr>
              <w:t>控制标准</w:t>
            </w:r>
          </w:p>
        </w:tc>
      </w:tr>
      <w:tr w:rsidR="005F4873" w:rsidRPr="00C36F08" w:rsidTr="00C36F08">
        <w:trPr>
          <w:trHeight w:hRule="exact" w:val="340"/>
        </w:trPr>
        <w:tc>
          <w:tcPr>
            <w:tcW w:w="315" w:type="pct"/>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林地</w:t>
            </w:r>
          </w:p>
        </w:tc>
        <w:tc>
          <w:tcPr>
            <w:tcW w:w="316" w:type="pct"/>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乔木林地</w:t>
            </w:r>
          </w:p>
        </w:tc>
        <w:tc>
          <w:tcPr>
            <w:tcW w:w="618" w:type="pct"/>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土壤质量</w:t>
            </w: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有效土层厚度／</w:t>
            </w:r>
            <w:r w:rsidRPr="00C36F08">
              <w:rPr>
                <w:rFonts w:eastAsia="仿宋_GB2312"/>
                <w:sz w:val="21"/>
                <w:szCs w:val="21"/>
              </w:rPr>
              <w:t>cm</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≥30</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土壤容重（</w:t>
            </w:r>
            <w:r w:rsidRPr="00C36F08">
              <w:rPr>
                <w:rFonts w:eastAsia="仿宋_GB2312"/>
                <w:sz w:val="21"/>
                <w:szCs w:val="21"/>
              </w:rPr>
              <w:t>g/cm</w:t>
            </w:r>
            <w:r w:rsidRPr="00C36F08">
              <w:rPr>
                <w:rFonts w:eastAsia="仿宋_GB2312"/>
                <w:sz w:val="21"/>
                <w:szCs w:val="21"/>
                <w:vertAlign w:val="superscript"/>
              </w:rPr>
              <w:t>3</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≤1.55</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土壤质地</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砂土至壤质粘土</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砂石含量／</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≤50</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pH</w:t>
            </w:r>
            <w:r w:rsidRPr="00C36F08">
              <w:rPr>
                <w:rFonts w:eastAsia="仿宋_GB2312"/>
                <w:sz w:val="21"/>
                <w:szCs w:val="21"/>
              </w:rPr>
              <w:t>值</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6.5—8.5</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有机质／</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≥0.5</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配套设施</w:t>
            </w: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道路</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达到当地本行业工程建设标准要求</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生产力水平</w:t>
            </w: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定植密度／（株</w:t>
            </w:r>
            <w:r w:rsidRPr="00C36F08">
              <w:rPr>
                <w:rFonts w:eastAsia="仿宋_GB2312"/>
                <w:sz w:val="21"/>
                <w:szCs w:val="21"/>
              </w:rPr>
              <w:t>/hm</w:t>
            </w:r>
            <w:r w:rsidRPr="00C36F08">
              <w:rPr>
                <w:rFonts w:eastAsia="仿宋_GB2312"/>
                <w:sz w:val="21"/>
                <w:szCs w:val="21"/>
                <w:vertAlign w:val="superscript"/>
              </w:rPr>
              <w:t>2</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满足《造林作业设计规程》（</w:t>
            </w:r>
            <w:r w:rsidRPr="00C36F08">
              <w:rPr>
                <w:rFonts w:eastAsia="仿宋_GB2312"/>
                <w:sz w:val="21"/>
                <w:szCs w:val="21"/>
              </w:rPr>
              <w:t>LY/Tl607</w:t>
            </w:r>
            <w:r w:rsidRPr="00C36F08">
              <w:rPr>
                <w:rFonts w:eastAsia="仿宋_GB2312"/>
                <w:sz w:val="21"/>
                <w:szCs w:val="21"/>
              </w:rPr>
              <w:t>）要求</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郁闭度</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≥0.20</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灌木林地</w:t>
            </w:r>
          </w:p>
        </w:tc>
        <w:tc>
          <w:tcPr>
            <w:tcW w:w="618" w:type="pct"/>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土壤质量</w:t>
            </w: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有效土层厚度／</w:t>
            </w:r>
            <w:r w:rsidRPr="00C36F08">
              <w:rPr>
                <w:rFonts w:eastAsia="仿宋_GB2312"/>
                <w:sz w:val="21"/>
                <w:szCs w:val="21"/>
              </w:rPr>
              <w:t>cm</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≥20</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土壤容重（</w:t>
            </w:r>
            <w:r w:rsidRPr="00C36F08">
              <w:rPr>
                <w:rFonts w:eastAsia="仿宋_GB2312"/>
                <w:sz w:val="21"/>
                <w:szCs w:val="21"/>
              </w:rPr>
              <w:t>g/cm</w:t>
            </w:r>
            <w:r w:rsidRPr="00C36F08">
              <w:rPr>
                <w:rFonts w:eastAsia="仿宋_GB2312"/>
                <w:sz w:val="21"/>
                <w:szCs w:val="21"/>
                <w:vertAlign w:val="superscript"/>
              </w:rPr>
              <w:t>3</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≤1.55</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土壤质地</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砂土至壤质粘土</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砂石含量／</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≤50</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pH</w:t>
            </w:r>
            <w:r w:rsidRPr="00C36F08">
              <w:rPr>
                <w:rFonts w:eastAsia="仿宋_GB2312"/>
                <w:sz w:val="21"/>
                <w:szCs w:val="21"/>
              </w:rPr>
              <w:t>值</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6.5—8.5</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有机质／</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≥0.5</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配套设施</w:t>
            </w: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道路</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达到当地本行业工程建设标准要求</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生产力水平</w:t>
            </w: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定植密度／（株</w:t>
            </w:r>
            <w:r w:rsidRPr="00C36F08">
              <w:rPr>
                <w:rFonts w:eastAsia="仿宋_GB2312"/>
                <w:sz w:val="21"/>
                <w:szCs w:val="21"/>
              </w:rPr>
              <w:t>/hm</w:t>
            </w:r>
            <w:r w:rsidRPr="00C36F08">
              <w:rPr>
                <w:rFonts w:eastAsia="仿宋_GB2312"/>
                <w:sz w:val="21"/>
                <w:szCs w:val="21"/>
                <w:vertAlign w:val="superscript"/>
              </w:rPr>
              <w:t>2</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满足《造林作业设计规程》（</w:t>
            </w:r>
            <w:r w:rsidRPr="00C36F08">
              <w:rPr>
                <w:rFonts w:eastAsia="仿宋_GB2312"/>
                <w:sz w:val="21"/>
                <w:szCs w:val="21"/>
              </w:rPr>
              <w:t>LY/Tl607</w:t>
            </w:r>
            <w:r w:rsidRPr="00C36F08">
              <w:rPr>
                <w:rFonts w:eastAsia="仿宋_GB2312"/>
                <w:sz w:val="21"/>
                <w:szCs w:val="21"/>
              </w:rPr>
              <w:t>）要求</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覆盖度</w:t>
            </w:r>
            <w:r w:rsidRPr="00C36F08">
              <w:rPr>
                <w:rFonts w:eastAsia="仿宋_GB2312"/>
                <w:sz w:val="21"/>
                <w:szCs w:val="21"/>
                <w:vertAlign w:val="superscript"/>
              </w:rPr>
              <w:t>①</w:t>
            </w:r>
            <w:r w:rsidRPr="00C36F08">
              <w:rPr>
                <w:rFonts w:eastAsia="仿宋_GB2312"/>
                <w:sz w:val="21"/>
                <w:szCs w:val="21"/>
              </w:rPr>
              <w:t>（</w:t>
            </w:r>
            <w:r w:rsidRPr="00C36F08">
              <w:rPr>
                <w:rFonts w:eastAsia="仿宋_GB2312"/>
                <w:sz w:val="21"/>
                <w:szCs w:val="21"/>
              </w:rPr>
              <w:t>%</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≥40</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其他林地</w:t>
            </w:r>
          </w:p>
        </w:tc>
        <w:tc>
          <w:tcPr>
            <w:tcW w:w="618" w:type="pct"/>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土壤质量</w:t>
            </w: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有效土层厚度／</w:t>
            </w:r>
            <w:r w:rsidRPr="00C36F08">
              <w:rPr>
                <w:rFonts w:eastAsia="仿宋_GB2312"/>
                <w:sz w:val="21"/>
                <w:szCs w:val="21"/>
              </w:rPr>
              <w:t>cm</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≥20</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土壤容重（</w:t>
            </w:r>
            <w:r w:rsidRPr="00C36F08">
              <w:rPr>
                <w:rFonts w:eastAsia="仿宋_GB2312"/>
                <w:sz w:val="21"/>
                <w:szCs w:val="21"/>
              </w:rPr>
              <w:t>g/cm</w:t>
            </w:r>
            <w:r w:rsidRPr="00C36F08">
              <w:rPr>
                <w:rFonts w:eastAsia="仿宋_GB2312"/>
                <w:sz w:val="21"/>
                <w:szCs w:val="21"/>
                <w:vertAlign w:val="superscript"/>
              </w:rPr>
              <w:t>3</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≤1.55</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土壤质地</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砂土至壤质粘土</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砂石含量／</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≤50</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pH</w:t>
            </w:r>
            <w:r w:rsidRPr="00C36F08">
              <w:rPr>
                <w:rFonts w:eastAsia="仿宋_GB2312"/>
                <w:sz w:val="21"/>
                <w:szCs w:val="21"/>
              </w:rPr>
              <w:t>值</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6.5—8.5</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有机质／</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≥0.5</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配套设施</w:t>
            </w: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道路</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达到当地本行业工程建设标准要求</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r w:rsidRPr="00C36F08">
              <w:rPr>
                <w:rFonts w:eastAsia="仿宋_GB2312"/>
                <w:sz w:val="21"/>
                <w:szCs w:val="21"/>
              </w:rPr>
              <w:t>生产力水平</w:t>
            </w: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定植密度／（株</w:t>
            </w:r>
            <w:r w:rsidRPr="00C36F08">
              <w:rPr>
                <w:rFonts w:eastAsia="仿宋_GB2312"/>
                <w:sz w:val="21"/>
                <w:szCs w:val="21"/>
              </w:rPr>
              <w:t>/hm</w:t>
            </w:r>
            <w:r w:rsidRPr="00C36F08">
              <w:rPr>
                <w:rFonts w:eastAsia="仿宋_GB2312"/>
                <w:sz w:val="21"/>
                <w:szCs w:val="21"/>
                <w:vertAlign w:val="superscript"/>
              </w:rPr>
              <w:t>2</w:t>
            </w:r>
            <w:r w:rsidRPr="00C36F08">
              <w:rPr>
                <w:rFonts w:eastAsia="仿宋_GB2312"/>
                <w:sz w:val="21"/>
                <w:szCs w:val="21"/>
              </w:rPr>
              <w:t>）</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满足《造林作业设计规程》（</w:t>
            </w:r>
            <w:r w:rsidRPr="00C36F08">
              <w:rPr>
                <w:rFonts w:eastAsia="仿宋_GB2312"/>
                <w:sz w:val="21"/>
                <w:szCs w:val="21"/>
              </w:rPr>
              <w:t>LY/Tl607</w:t>
            </w:r>
            <w:r w:rsidRPr="00C36F08">
              <w:rPr>
                <w:rFonts w:eastAsia="仿宋_GB2312"/>
                <w:sz w:val="21"/>
                <w:szCs w:val="21"/>
              </w:rPr>
              <w:t>）要求</w:t>
            </w:r>
          </w:p>
        </w:tc>
      </w:tr>
      <w:tr w:rsidR="005F4873" w:rsidRPr="00C36F08" w:rsidTr="00C36F08">
        <w:trPr>
          <w:trHeight w:hRule="exact" w:val="340"/>
        </w:trPr>
        <w:tc>
          <w:tcPr>
            <w:tcW w:w="315"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316"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618" w:type="pct"/>
            <w:vMerge/>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jc w:val="center"/>
              <w:rPr>
                <w:rFonts w:eastAsia="仿宋_GB2312"/>
                <w:sz w:val="21"/>
                <w:szCs w:val="21"/>
              </w:rPr>
            </w:pPr>
          </w:p>
        </w:tc>
        <w:tc>
          <w:tcPr>
            <w:tcW w:w="1312"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郁闭度</w:t>
            </w:r>
          </w:p>
        </w:tc>
        <w:tc>
          <w:tcPr>
            <w:tcW w:w="2436" w:type="pct"/>
            <w:tcBorders>
              <w:top w:val="single" w:sz="2" w:space="0" w:color="000000"/>
              <w:left w:val="single" w:sz="2" w:space="0" w:color="000000"/>
              <w:bottom w:val="single" w:sz="2" w:space="0" w:color="000000"/>
              <w:right w:val="single" w:sz="2" w:space="0" w:color="000000"/>
              <w:tl2br w:val="nil"/>
              <w:tr2bl w:val="nil"/>
            </w:tcBorders>
            <w:vAlign w:val="center"/>
          </w:tcPr>
          <w:p w:rsidR="005F4873" w:rsidRPr="00C36F08" w:rsidRDefault="005F4873" w:rsidP="00C36F08">
            <w:pPr>
              <w:pStyle w:val="TableParagraph"/>
              <w:kinsoku w:val="0"/>
              <w:overflowPunct w:val="0"/>
              <w:spacing w:line="240" w:lineRule="exact"/>
              <w:rPr>
                <w:rFonts w:eastAsia="仿宋_GB2312"/>
                <w:sz w:val="21"/>
                <w:szCs w:val="21"/>
              </w:rPr>
            </w:pPr>
            <w:r w:rsidRPr="00C36F08">
              <w:rPr>
                <w:rFonts w:eastAsia="仿宋_GB2312"/>
                <w:sz w:val="21"/>
                <w:szCs w:val="21"/>
              </w:rPr>
              <w:t>≥0.15</w:t>
            </w:r>
          </w:p>
        </w:tc>
      </w:tr>
    </w:tbl>
    <w:p w:rsidR="005F4873" w:rsidRPr="00C36F08" w:rsidRDefault="005F4873" w:rsidP="00C36F08">
      <w:pPr>
        <w:pStyle w:val="a4"/>
        <w:tabs>
          <w:tab w:val="left" w:pos="5759"/>
        </w:tabs>
        <w:kinsoku w:val="0"/>
        <w:overflowPunct w:val="0"/>
        <w:spacing w:before="10" w:line="360" w:lineRule="exact"/>
        <w:ind w:left="102"/>
        <w:jc w:val="both"/>
        <w:rPr>
          <w:rFonts w:ascii="仿宋_GB2312" w:eastAsia="仿宋_GB2312" w:hAnsi="Times New Roman"/>
          <w:w w:val="104"/>
          <w:sz w:val="21"/>
          <w:szCs w:val="21"/>
        </w:rPr>
      </w:pPr>
      <w:r w:rsidRPr="00C36F08">
        <w:rPr>
          <w:rFonts w:ascii="仿宋_GB2312" w:eastAsia="仿宋_GB2312" w:hAnsi="Times New Roman" w:hint="eastAsia"/>
          <w:w w:val="104"/>
          <w:sz w:val="21"/>
          <w:szCs w:val="21"/>
        </w:rPr>
        <w:t>注：1.此表来源于《土地复垦质量控制标准》(TD/Tl036-2013)，</w:t>
      </w:r>
    </w:p>
    <w:p w:rsidR="005F4873" w:rsidRPr="00C36F08" w:rsidRDefault="005F4873" w:rsidP="00C36F08">
      <w:pPr>
        <w:pStyle w:val="a4"/>
        <w:tabs>
          <w:tab w:val="left" w:pos="5759"/>
        </w:tabs>
        <w:kinsoku w:val="0"/>
        <w:overflowPunct w:val="0"/>
        <w:spacing w:before="0" w:line="360" w:lineRule="exact"/>
        <w:ind w:left="102" w:firstLineChars="200" w:firstLine="420"/>
        <w:jc w:val="both"/>
        <w:rPr>
          <w:rFonts w:ascii="仿宋_GB2312" w:eastAsia="仿宋_GB2312" w:hAnsi="Times New Roman"/>
          <w:sz w:val="21"/>
          <w:szCs w:val="21"/>
        </w:rPr>
      </w:pPr>
      <w:r w:rsidRPr="00C36F08">
        <w:rPr>
          <w:rFonts w:ascii="仿宋_GB2312" w:eastAsia="仿宋_GB2312" w:hAnsi="Times New Roman" w:hint="eastAsia"/>
          <w:sz w:val="21"/>
          <w:szCs w:val="21"/>
        </w:rPr>
        <w:t>2.表内①根据《全国森林草原湿地荒漠化普查技术规程》，灌木林地覆盖度由原来的≥0.2修订为≥40%。</w:t>
      </w:r>
    </w:p>
    <w:p w:rsidR="005F4873" w:rsidRPr="00C36F08" w:rsidRDefault="005F4873" w:rsidP="00C36F08">
      <w:pPr>
        <w:pStyle w:val="a4"/>
        <w:tabs>
          <w:tab w:val="left" w:pos="5759"/>
        </w:tabs>
        <w:kinsoku w:val="0"/>
        <w:overflowPunct w:val="0"/>
        <w:spacing w:before="10" w:line="360" w:lineRule="exact"/>
        <w:ind w:left="102" w:firstLineChars="200" w:firstLine="420"/>
        <w:jc w:val="both"/>
        <w:rPr>
          <w:rFonts w:ascii="仿宋_GB2312" w:eastAsia="仿宋_GB2312" w:hAnsi="Times New Roman"/>
          <w:sz w:val="21"/>
          <w:szCs w:val="21"/>
        </w:rPr>
      </w:pPr>
      <w:r w:rsidRPr="00C36F08">
        <w:rPr>
          <w:rFonts w:ascii="仿宋_GB2312" w:eastAsia="仿宋_GB2312" w:hAnsi="Times New Roman" w:hint="eastAsia"/>
          <w:sz w:val="21"/>
          <w:szCs w:val="21"/>
        </w:rPr>
        <w:t>3.针对砾石含量超过50%的原生地貌，允许保留原有覆土特征，避免机械执行标准导致生态不可行。</w:t>
      </w:r>
    </w:p>
    <w:sectPr w:rsidR="005F4873" w:rsidRPr="00C36F08" w:rsidSect="00C36F08">
      <w:pgSz w:w="11906" w:h="16838"/>
      <w:pgMar w:top="2098" w:right="1531" w:bottom="1985" w:left="1531"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E9C" w:rsidRDefault="00785E9C" w:rsidP="00C36F08">
      <w:pPr>
        <w:spacing w:after="0"/>
      </w:pPr>
      <w:r>
        <w:separator/>
      </w:r>
    </w:p>
  </w:endnote>
  <w:endnote w:type="continuationSeparator" w:id="0">
    <w:p w:rsidR="00785E9C" w:rsidRDefault="00785E9C" w:rsidP="00C36F0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公文小标宋">
    <w:altName w:val="微软雅黑"/>
    <w:charset w:val="86"/>
    <w:family w:val="auto"/>
    <w:pitch w:val="default"/>
    <w:sig w:usb0="00000000"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35233"/>
      <w:docPartObj>
        <w:docPartGallery w:val="Page Numbers (Bottom of Page)"/>
        <w:docPartUnique/>
      </w:docPartObj>
    </w:sdtPr>
    <w:sdtEndPr>
      <w:rPr>
        <w:rFonts w:asciiTheme="minorEastAsia" w:eastAsiaTheme="minorEastAsia" w:hAnsiTheme="minorEastAsia"/>
        <w:sz w:val="32"/>
        <w:szCs w:val="32"/>
      </w:rPr>
    </w:sdtEndPr>
    <w:sdtContent>
      <w:p w:rsidR="00C36F08" w:rsidRDefault="002964F5">
        <w:pPr>
          <w:pStyle w:val="a6"/>
          <w:jc w:val="center"/>
        </w:pPr>
        <w:r w:rsidRPr="00C36F08">
          <w:rPr>
            <w:rFonts w:asciiTheme="minorEastAsia" w:eastAsiaTheme="minorEastAsia" w:hAnsiTheme="minorEastAsia"/>
            <w:sz w:val="32"/>
            <w:szCs w:val="32"/>
          </w:rPr>
          <w:fldChar w:fldCharType="begin"/>
        </w:r>
        <w:r w:rsidR="00C36F08" w:rsidRPr="00C36F08">
          <w:rPr>
            <w:rFonts w:asciiTheme="minorEastAsia" w:eastAsiaTheme="minorEastAsia" w:hAnsiTheme="minorEastAsia"/>
            <w:sz w:val="32"/>
            <w:szCs w:val="32"/>
          </w:rPr>
          <w:instrText xml:space="preserve"> PAGE   \* MERGEFORMAT </w:instrText>
        </w:r>
        <w:r w:rsidRPr="00C36F08">
          <w:rPr>
            <w:rFonts w:asciiTheme="minorEastAsia" w:eastAsiaTheme="minorEastAsia" w:hAnsiTheme="minorEastAsia"/>
            <w:sz w:val="32"/>
            <w:szCs w:val="32"/>
          </w:rPr>
          <w:fldChar w:fldCharType="separate"/>
        </w:r>
        <w:r w:rsidR="0033357C" w:rsidRPr="0033357C">
          <w:rPr>
            <w:rFonts w:asciiTheme="minorEastAsia" w:eastAsiaTheme="minorEastAsia" w:hAnsiTheme="minorEastAsia"/>
            <w:noProof/>
            <w:sz w:val="32"/>
            <w:szCs w:val="32"/>
            <w:lang w:val="zh-CN"/>
          </w:rPr>
          <w:t>-</w:t>
        </w:r>
        <w:r w:rsidR="0033357C">
          <w:rPr>
            <w:rFonts w:asciiTheme="minorEastAsia" w:eastAsiaTheme="minorEastAsia" w:hAnsiTheme="minorEastAsia"/>
            <w:noProof/>
            <w:sz w:val="32"/>
            <w:szCs w:val="32"/>
          </w:rPr>
          <w:t xml:space="preserve"> 9 -</w:t>
        </w:r>
        <w:r w:rsidRPr="00C36F08">
          <w:rPr>
            <w:rFonts w:asciiTheme="minorEastAsia" w:eastAsiaTheme="minorEastAsia" w:hAnsiTheme="minorEastAsia"/>
            <w:sz w:val="32"/>
            <w:szCs w:val="32"/>
          </w:rPr>
          <w:fldChar w:fldCharType="end"/>
        </w:r>
      </w:p>
    </w:sdtContent>
  </w:sdt>
  <w:p w:rsidR="00C36F08" w:rsidRDefault="00C36F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E9C" w:rsidRDefault="00785E9C" w:rsidP="00C36F08">
      <w:pPr>
        <w:spacing w:after="0"/>
      </w:pPr>
      <w:r>
        <w:separator/>
      </w:r>
    </w:p>
  </w:footnote>
  <w:footnote w:type="continuationSeparator" w:id="0">
    <w:p w:rsidR="00785E9C" w:rsidRDefault="00785E9C" w:rsidP="00C36F0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31D50"/>
    <w:rsid w:val="00065E52"/>
    <w:rsid w:val="00101BD4"/>
    <w:rsid w:val="0014750E"/>
    <w:rsid w:val="00184AD9"/>
    <w:rsid w:val="001B473A"/>
    <w:rsid w:val="001D15BB"/>
    <w:rsid w:val="002964F5"/>
    <w:rsid w:val="002E07D7"/>
    <w:rsid w:val="00323B43"/>
    <w:rsid w:val="00332BBA"/>
    <w:rsid w:val="0033357C"/>
    <w:rsid w:val="003D37D8"/>
    <w:rsid w:val="00403447"/>
    <w:rsid w:val="00420174"/>
    <w:rsid w:val="00426133"/>
    <w:rsid w:val="004358AB"/>
    <w:rsid w:val="005F4873"/>
    <w:rsid w:val="00723A52"/>
    <w:rsid w:val="00777783"/>
    <w:rsid w:val="00785E9C"/>
    <w:rsid w:val="008652A7"/>
    <w:rsid w:val="008B7726"/>
    <w:rsid w:val="00AF33FE"/>
    <w:rsid w:val="00B419D7"/>
    <w:rsid w:val="00C36F0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F4873"/>
    <w:pPr>
      <w:ind w:leftChars="2500" w:left="100"/>
    </w:pPr>
  </w:style>
  <w:style w:type="character" w:customStyle="1" w:styleId="Char">
    <w:name w:val="日期 Char"/>
    <w:basedOn w:val="a0"/>
    <w:link w:val="a3"/>
    <w:uiPriority w:val="99"/>
    <w:semiHidden/>
    <w:rsid w:val="005F4873"/>
    <w:rPr>
      <w:rFonts w:ascii="Tahoma" w:hAnsi="Tahoma"/>
    </w:rPr>
  </w:style>
  <w:style w:type="paragraph" w:styleId="a4">
    <w:name w:val="Body Text"/>
    <w:basedOn w:val="a"/>
    <w:link w:val="Char0"/>
    <w:uiPriority w:val="1"/>
    <w:unhideWhenUsed/>
    <w:qFormat/>
    <w:rsid w:val="005F4873"/>
    <w:pPr>
      <w:widowControl w:val="0"/>
      <w:autoSpaceDE w:val="0"/>
      <w:autoSpaceDN w:val="0"/>
      <w:snapToGrid/>
      <w:spacing w:before="210" w:after="0"/>
      <w:ind w:left="100"/>
    </w:pPr>
    <w:rPr>
      <w:rFonts w:ascii="宋体" w:eastAsia="宋体" w:hAnsi="宋体" w:cs="Times New Roman"/>
      <w:sz w:val="42"/>
      <w:szCs w:val="24"/>
    </w:rPr>
  </w:style>
  <w:style w:type="character" w:customStyle="1" w:styleId="Char0">
    <w:name w:val="正文文本 Char"/>
    <w:basedOn w:val="a0"/>
    <w:link w:val="a4"/>
    <w:uiPriority w:val="1"/>
    <w:rsid w:val="005F4873"/>
    <w:rPr>
      <w:rFonts w:ascii="宋体" w:eastAsia="宋体" w:hAnsi="宋体" w:cs="Times New Roman"/>
      <w:sz w:val="42"/>
      <w:szCs w:val="24"/>
    </w:rPr>
  </w:style>
  <w:style w:type="paragraph" w:customStyle="1" w:styleId="TableParagraph">
    <w:name w:val="Table Paragraph"/>
    <w:basedOn w:val="a"/>
    <w:uiPriority w:val="1"/>
    <w:unhideWhenUsed/>
    <w:qFormat/>
    <w:rsid w:val="005F4873"/>
    <w:pPr>
      <w:widowControl w:val="0"/>
      <w:autoSpaceDE w:val="0"/>
      <w:autoSpaceDN w:val="0"/>
      <w:snapToGrid/>
      <w:spacing w:after="0"/>
    </w:pPr>
    <w:rPr>
      <w:rFonts w:ascii="Times New Roman" w:eastAsia="宋体" w:hAnsi="Times New Roman" w:cs="Times New Roman"/>
      <w:sz w:val="24"/>
      <w:szCs w:val="24"/>
    </w:rPr>
  </w:style>
  <w:style w:type="paragraph" w:styleId="a5">
    <w:name w:val="header"/>
    <w:basedOn w:val="a"/>
    <w:link w:val="Char1"/>
    <w:uiPriority w:val="99"/>
    <w:semiHidden/>
    <w:unhideWhenUsed/>
    <w:rsid w:val="00C36F08"/>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semiHidden/>
    <w:rsid w:val="00C36F08"/>
    <w:rPr>
      <w:rFonts w:ascii="Tahoma" w:hAnsi="Tahoma"/>
      <w:sz w:val="18"/>
      <w:szCs w:val="18"/>
    </w:rPr>
  </w:style>
  <w:style w:type="paragraph" w:styleId="a6">
    <w:name w:val="footer"/>
    <w:basedOn w:val="a"/>
    <w:link w:val="Char2"/>
    <w:uiPriority w:val="99"/>
    <w:unhideWhenUsed/>
    <w:rsid w:val="00C36F08"/>
    <w:pPr>
      <w:tabs>
        <w:tab w:val="center" w:pos="4153"/>
        <w:tab w:val="right" w:pos="8306"/>
      </w:tabs>
    </w:pPr>
    <w:rPr>
      <w:sz w:val="18"/>
      <w:szCs w:val="18"/>
    </w:rPr>
  </w:style>
  <w:style w:type="character" w:customStyle="1" w:styleId="Char2">
    <w:name w:val="页脚 Char"/>
    <w:basedOn w:val="a0"/>
    <w:link w:val="a6"/>
    <w:uiPriority w:val="99"/>
    <w:rsid w:val="00C36F0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C9B0AA-26AF-40B5-A078-6AA7EAC7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dreamsummit</cp:lastModifiedBy>
  <cp:revision>7</cp:revision>
  <cp:lastPrinted>2025-05-08T04:20:00Z</cp:lastPrinted>
  <dcterms:created xsi:type="dcterms:W3CDTF">2008-09-11T17:20:00Z</dcterms:created>
  <dcterms:modified xsi:type="dcterms:W3CDTF">2025-05-09T02:14:00Z</dcterms:modified>
</cp:coreProperties>
</file>