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highlight w:val="none"/>
        </w:rPr>
        <w:t>《新疆维吾尔自治区级重要湿地认定和名录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2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highlight w:val="none"/>
        </w:rPr>
        <w:t>发布规定》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highlight w:val="none"/>
          <w:lang w:val="en-US" w:eastAsia="zh-CN"/>
        </w:rPr>
        <w:t>修订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highlight w:val="none"/>
          <w:lang w:eastAsia="zh-CN"/>
        </w:rPr>
        <w:t>编制说明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instrText xml:space="preserve"> HYPERLINK "http://www.zhongxian.gov.cn/hdjl_156/zcwd/lyj/202501/t20250122_14194852_zzb.html" \o "分享到微信"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fldChar w:fldCharType="separate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instrText xml:space="preserve"> HYPERLINK "http://www.zhongxian.gov.cn/hdjl_156/zcwd/lyj/202501/t20250122_14194852_zzb.html" \o "分享到新浪微博"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fldChar w:fldCharType="separate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instrText xml:space="preserve"> HYPERLINK "http://www.zhongxian.gov.cn/hdjl_156/zcwd/lyj/202501/t20250122_14194852_zzb.html" \o "分享到QQ空间"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fldChar w:fldCharType="separate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instrText xml:space="preserve"> HYPERLINK "http://www.zhongxian.gov.cn/hdjl_156/zcwd/lyj/202501/t20250122_14194852_zzb.html" \o "分享到邮件分享"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fldChar w:fldCharType="separate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instrText xml:space="preserve"> HYPERLINK "http://www.zhongxian.gov.cn/hdjl_156/zcwd/lyj/202501/t20250122_14194852_zzb.html" \o "分享到打印"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fldChar w:fldCharType="separate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instrText xml:space="preserve"> HYPERLINK "http://www.zhongxian.gov.cn/hdjl_156/zcwd/lyj/202501/t20250122_14194852_zzb.html" \o "分享到复制网址"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fldChar w:fldCharType="separate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  <w:t>为落实国家对湿地实行分级管理及名录制度，规范自治区级重要湿地认定和名录发布，根据《中华人民共和国湿地保护法》《新疆维吾尔自治区湿地保护条例》法律法规和有关规定，参照《国家重要湿地认定和名录发布规定》，自治区林草局修订了</w:t>
      </w:r>
      <w:r>
        <w:rPr>
          <w:rFonts w:hint="default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  <w:t>《新疆维吾尔自治区级重要湿地认定和名录发布规定》</w:t>
      </w:r>
      <w:r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  <w:t>（以下简称《规定》），现将有关情况说明如下。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spacing w:val="0"/>
          <w:sz w:val="32"/>
          <w:szCs w:val="32"/>
          <w:highlight w:val="none"/>
          <w:lang w:val="en-US" w:eastAsia="zh-CN"/>
        </w:rPr>
        <w:t>一、修订背景与必要性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pacing w:val="0"/>
          <w:sz w:val="32"/>
          <w:szCs w:val="32"/>
          <w:highlight w:val="none"/>
          <w:lang w:val="en-US" w:eastAsia="zh-CN"/>
        </w:rPr>
        <w:t>1.贯彻落实上位法要求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  <w:t>2022年6月1日正式施行的《中华人民共和国湿地保护法》明确了湿地实行分级管理及名录制度，要求将重要湿地纳入名录管理。为贯彻落实国家法律，需结合自治区实际情况，细化自治区级重要湿地的认定标准和名录发布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pacing w:val="0"/>
          <w:sz w:val="32"/>
          <w:szCs w:val="32"/>
          <w:highlight w:val="none"/>
          <w:lang w:val="en-US" w:eastAsia="zh-CN"/>
        </w:rPr>
        <w:t>2.规范与完善现有管理体系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  <w:t>2018年</w:t>
      </w:r>
      <w:bookmarkStart w:id="0" w:name="_GoBack"/>
      <w:bookmarkEnd w:id="0"/>
      <w:r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  <w:t>原自治区林业厅印发的《新疆维吾尔自治区重要湿地确认办法（暂行）》和2019年自治区林草局印发的《新疆维吾尔自治区湿地名录管理办法（暂行）》已不适用当前需求，需通过制定新规，对名录进行“提质优化”，建立进出有序的动态管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spacing w:val="0"/>
          <w:sz w:val="32"/>
          <w:szCs w:val="32"/>
          <w:highlight w:val="none"/>
          <w:lang w:val="en-US" w:eastAsia="zh-CN"/>
        </w:rPr>
        <w:t>二、编制依据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pacing w:val="0"/>
          <w:sz w:val="32"/>
          <w:szCs w:val="32"/>
          <w:highlight w:val="none"/>
          <w:lang w:val="en-US" w:eastAsia="zh-CN"/>
        </w:rPr>
        <w:t>1.法律依据：</w:t>
      </w:r>
      <w:r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  <w:t>《中华人民共和国湿地保护法》（2022年12月24日颁布）、《新疆维吾尔自治区湿地保护条例》（2026年3月25日修订）。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地方标准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  <w:t>《重要湿地认定指标（DB65/T5060—2026）》（已经自治区市场监督管理局完成审查，待发布）。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上级文件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  <w:t>《国家重要湿地认定和名录发布规定》（林湿发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  <w:t>84号）。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国标黑体" w:hAnsi="国标黑体" w:eastAsia="国标黑体" w:cs="国标黑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spacing w:val="0"/>
          <w:sz w:val="32"/>
          <w:szCs w:val="32"/>
          <w:highlight w:val="none"/>
          <w:lang w:val="en-US" w:eastAsia="zh-CN"/>
        </w:rPr>
        <w:t>三、修订过程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 w:ascii="仿宋_GB2312" w:hAnsi="Calibri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Calibri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Calibri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Calibri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仿宋_GB2312" w:hAnsi="Calibri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月，</w:t>
      </w:r>
      <w:r>
        <w:rPr>
          <w:rFonts w:hint="eastAsia" w:ascii="仿宋_GB2312" w:hAnsi="Calibri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自治区林草局在前期调研的基础上完成了《规定》（征求意见稿）</w:t>
      </w:r>
      <w:r>
        <w:rPr>
          <w:rFonts w:hint="default" w:ascii="仿宋_GB2312" w:hAnsi="Calibri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Calibri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2026年1月征求了林草局生态处、资源处、法规改革处等相关处室的意见建议，4月征求了各地（州、市）人民政府林业草原主管部门意见建议，并进行了修改完善，形成目前《规定》（征求意见稿）。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国标黑体" w:hAnsi="国标黑体" w:eastAsia="国标黑体" w:cs="国标黑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spacing w:val="0"/>
          <w:sz w:val="32"/>
          <w:szCs w:val="32"/>
          <w:highlight w:val="none"/>
          <w:lang w:val="en-US" w:eastAsia="zh-CN"/>
        </w:rPr>
        <w:t>四、《规定》主要内容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  <w:t>《规定》包括总则、申报条件、认定程序、名录发布和管理、附则五个章节，共二十一条。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pacing w:val="0"/>
          <w:sz w:val="32"/>
          <w:szCs w:val="32"/>
          <w:highlight w:val="none"/>
          <w:lang w:val="en-US" w:eastAsia="zh-CN"/>
        </w:rPr>
        <w:t>1.总则。</w:t>
      </w:r>
      <w:r>
        <w:rPr>
          <w:rFonts w:hint="eastAsia" w:ascii="仿宋_GB2312" w:hAnsi="Calibri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本章</w:t>
      </w:r>
      <w:r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  <w:t>节主要明确《规定》编制目的，自治区级重要湿地定义和适用范围，重要湿地管理的基本原则，申报方式等基础性条文。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pacing w:val="0"/>
          <w:sz w:val="32"/>
          <w:szCs w:val="32"/>
          <w:highlight w:val="none"/>
          <w:lang w:val="en-US" w:eastAsia="zh-CN"/>
        </w:rPr>
        <w:t>2.申报条件。</w:t>
      </w:r>
      <w:r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  <w:t>本章节主要明确《规定》申报条件，应当提交的申报材料等条文。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pacing w:val="0"/>
          <w:sz w:val="32"/>
          <w:szCs w:val="32"/>
          <w:highlight w:val="none"/>
          <w:lang w:val="en-US" w:eastAsia="zh-CN"/>
        </w:rPr>
        <w:t>3.认定程序。</w:t>
      </w:r>
      <w:r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  <w:t>本章节主要明确《规定》申报和认定过程中各级各单位主要职责以及认定程序等条文。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pacing w:val="0"/>
          <w:sz w:val="32"/>
          <w:szCs w:val="32"/>
          <w:highlight w:val="none"/>
          <w:lang w:val="en-US" w:eastAsia="zh-CN"/>
        </w:rPr>
        <w:t>4.名录发布和管理。</w:t>
      </w:r>
      <w:r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  <w:t>本章节主要明确《规定》名录发布的内容，重要湿地命名方式，名录管理方式，名录信息变更、晋升、撤销规定及程序等条文。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pacing w:val="0"/>
          <w:sz w:val="32"/>
          <w:szCs w:val="32"/>
          <w:highlight w:val="none"/>
          <w:lang w:val="en-US" w:eastAsia="zh-CN"/>
        </w:rPr>
        <w:t>5.附则。</w:t>
      </w:r>
      <w:r>
        <w:rPr>
          <w:rFonts w:hint="eastAsia" w:ascii="仿宋_GB2312" w:hAnsi="Calibri" w:eastAsia="仿宋_GB2312" w:cs="Times New Roman"/>
          <w:spacing w:val="0"/>
          <w:sz w:val="32"/>
          <w:szCs w:val="32"/>
          <w:highlight w:val="none"/>
          <w:lang w:val="en-US" w:eastAsia="zh-CN"/>
        </w:rPr>
        <w:t>本章节主要明确了《规定》与相冲突的内容如何解决以及《规定》试行时间。</w:t>
      </w: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/>
          <w:spacing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/>
          <w:spacing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仿宋_GB2312" w:hAnsi="Calibri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Helvetic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92D83"/>
    <w:rsid w:val="12CD029D"/>
    <w:rsid w:val="1F076EE5"/>
    <w:rsid w:val="1F7FFEF4"/>
    <w:rsid w:val="2A26297F"/>
    <w:rsid w:val="2A6373B3"/>
    <w:rsid w:val="2EF24EDA"/>
    <w:rsid w:val="33752D74"/>
    <w:rsid w:val="35C540E0"/>
    <w:rsid w:val="3CFBDF96"/>
    <w:rsid w:val="49FFBBFE"/>
    <w:rsid w:val="66FE1B4C"/>
    <w:rsid w:val="67F61141"/>
    <w:rsid w:val="6B3FB585"/>
    <w:rsid w:val="6BBF4456"/>
    <w:rsid w:val="6DEF4223"/>
    <w:rsid w:val="73EEED30"/>
    <w:rsid w:val="75F38D8E"/>
    <w:rsid w:val="7BED4B00"/>
    <w:rsid w:val="7DFE8CE9"/>
    <w:rsid w:val="7E773076"/>
    <w:rsid w:val="7E77FAB4"/>
    <w:rsid w:val="7E9A1D9E"/>
    <w:rsid w:val="7F7F5971"/>
    <w:rsid w:val="8AFC0A35"/>
    <w:rsid w:val="8D37F0B1"/>
    <w:rsid w:val="B5E68E15"/>
    <w:rsid w:val="B7EFFD0E"/>
    <w:rsid w:val="B85309FC"/>
    <w:rsid w:val="BFFF040B"/>
    <w:rsid w:val="CF55CF61"/>
    <w:rsid w:val="DFBD12A0"/>
    <w:rsid w:val="E5DF1DED"/>
    <w:rsid w:val="E7EFDB3F"/>
    <w:rsid w:val="E8F3C461"/>
    <w:rsid w:val="EC7ED3D2"/>
    <w:rsid w:val="EED7CED4"/>
    <w:rsid w:val="EF7B5416"/>
    <w:rsid w:val="F63FC303"/>
    <w:rsid w:val="F7B7310F"/>
    <w:rsid w:val="F7FF150A"/>
    <w:rsid w:val="F9FF095A"/>
    <w:rsid w:val="FCF999DA"/>
    <w:rsid w:val="FF77A4CC"/>
    <w:rsid w:val="FFEEADC9"/>
    <w:rsid w:val="FFFB8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customStyle="1" w:styleId="4">
    <w:name w:val="正文首行缩进2个字 Char"/>
    <w:basedOn w:val="1"/>
    <w:qFormat/>
    <w:uiPriority w:val="0"/>
    <w:pPr>
      <w:ind w:firstLine="480" w:firstLineChars="200"/>
    </w:pPr>
    <w:rPr>
      <w:rFonts w:eastAsia="楷体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spacing w:before="240" w:after="60"/>
      <w:outlineLvl w:val="0"/>
    </w:pPr>
    <w:rPr>
      <w:rFonts w:ascii="Arial" w:hAnsi="Arial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样式 右侧:  1.69 厘米"/>
    <w:basedOn w:val="1"/>
    <w:qFormat/>
    <w:uiPriority w:val="0"/>
    <w:pPr>
      <w:ind w:right="960"/>
    </w:pPr>
    <w:rPr>
      <w:rFonts w:eastAsia="仿宋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1071</Words>
  <Characters>1119</Characters>
  <Lines>0</Lines>
  <Paragraphs>0</Paragraphs>
  <TotalTime>20</TotalTime>
  <ScaleCrop>false</ScaleCrop>
  <LinksUpToDate>false</LinksUpToDate>
  <CharactersWithSpaces>1120</CharactersWithSpaces>
  <Application>WPS Office_12.8.2.16969_F1E327BC-269C-435d-A152-05C5408002CA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2025-02-24T11:37:00Z</dcterms:created>
  <dc:creator>Administrator</dc:creator>
  <cp:lastModifiedBy>user</cp:lastModifiedBy>
  <cp:lastPrinted>2026-04-30T19:53:00Z</cp:lastPrinted>
  <dcterms:modified xsi:type="dcterms:W3CDTF">2026-05-21T19:12:09Z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KSOTemplateDocerSaveRecord">
    <vt:lpwstr>eyJoZGlkIjoiOTkzYjhlODJlY2I2N2VkZTllOWI5MzAyNDQxODcwMzkiLCJ1c2VySWQiOiIyNjcwNzUzNzUifQ==</vt:lpwstr>
  </property>
  <property fmtid="{D5CDD505-2E9C-101B-9397-08002B2CF9AE}" pid="4" name="ICV">
    <vt:lpwstr>807F038FBC324224E52CC16739AF3C0B_43</vt:lpwstr>
  </property>
</Properties>
</file>